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818"/>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1"/>
            <w:r/>
            <w:bookmarkStart w:id="2" w:name="OLE_LINK3"/>
            <w:r/>
            <w:bookmarkStart w:id="3" w:name="OLE_LINK13"/>
            <w:r/>
            <w:bookmarkStart w:id="4" w:name="OLE_LINK29"/>
            <w:r/>
            <w:bookmarkStart w:id="5" w:name="OLE_LINK24"/>
            <w:r/>
            <w:bookmarkStart w:id="6" w:name="OLE_LINK14"/>
            <w:r/>
            <w:bookmarkStart w:id="7" w:name="OLE_LINK17"/>
            <w:r/>
            <w:bookmarkStart w:id="8" w:name="OLE_LINK27"/>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云台农场公安派出所营房建设项目</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25"/>
            <w:r/>
            <w:bookmarkStart w:id="10" w:name="OLE_LINK15"/>
            <w:r/>
            <w:bookmarkStart w:id="11" w:name="OLE_LINK5"/>
            <w:r/>
            <w:bookmarkStart w:id="12" w:name="OLE_LINK18"/>
            <w:r/>
            <w:bookmarkStart w:id="13" w:name="OLE_LINK2"/>
            <w:r/>
            <w:bookmarkStart w:id="14" w:name="OLE_LINK30"/>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eastAsia"/>
                <w:b/>
                <w:color w:val="auto"/>
                <w:sz w:val="32"/>
                <w:szCs w:val="32"/>
                <w:highlight w:val="none"/>
                <w:lang w:val="en-US" w:eastAsia="zh-CN"/>
              </w:rPr>
              <w:t xml:space="preserve">JSZC-320700-SHGS-C2026-0005</w:t>
            </w:r>
            <w:r/>
          </w:p>
        </w:tc>
      </w:tr>
    </w:tbl>
    <w:p>
      <w:pPr>
        <w:pStyle w:val="832"/>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tbl>
      <w:tblPr>
        <w:tblStyle w:val="818"/>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4"/>
            <w:r/>
            <w:bookmarkStart w:id="16" w:name="OLE_LINK31"/>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rPr>
                <w:rFonts w:hint="eastAsia" w:ascii="Arial" w:hAnsi="宋体" w:cs="Times New Roman"/>
                <w:b/>
                <w:color w:val="auto"/>
                <w:spacing w:val="0"/>
                <w:sz w:val="32"/>
                <w:szCs w:val="32"/>
                <w:highlight w:val="none"/>
                <w:lang w:val="zh-CN" w:eastAsia="zh-CN" w:bidi="ar-SA"/>
              </w:rPr>
            </w:r>
            <w:r>
              <w:rPr>
                <w:rFonts w:hint="eastAsia" w:ascii="Arial" w:hAnsi="宋体" w:cs="Times New Roman"/>
                <w:b/>
                <w:color w:val="auto"/>
                <w:spacing w:val="0"/>
                <w:sz w:val="32"/>
                <w:szCs w:val="32"/>
                <w:highlight w:val="none"/>
                <w:lang w:val="zh-CN" w:eastAsia="zh-CN" w:bidi="ar-SA"/>
              </w:rPr>
            </w:r>
            <w:r>
              <w:rPr>
                <w:rFonts w:hint="eastAsia" w:ascii="Arial" w:hAnsi="宋体" w:cs="Times New Roman"/>
                <w:b/>
                <w:color w:val="auto"/>
                <w:spacing w:val="0"/>
                <w:sz w:val="32"/>
                <w:szCs w:val="32"/>
                <w:highlight w:val="none"/>
                <w:lang w:val="zh-CN" w:eastAsia="zh-CN" w:bidi="ar-SA"/>
              </w:rPr>
              <w:t xml:space="preserve">连云港市公安局高新技术产业园区分局</w:t>
            </w:r>
            <w:r>
              <w:rPr>
                <w:rFonts w:hint="eastAsia" w:ascii="Arial" w:hAnsi="宋体" w:cs="Times New Roman"/>
                <w:b/>
                <w:color w:val="auto"/>
                <w:spacing w:val="0"/>
                <w:sz w:val="32"/>
                <w:szCs w:val="32"/>
                <w:highlight w:val="none"/>
                <w:lang w:val="zh-CN" w:eastAsia="zh-CN" w:bidi="ar-SA"/>
              </w:rPr>
            </w:r>
            <w:r>
              <w:rPr>
                <w:rFonts w:hint="eastAsia" w:ascii="Arial" w:hAnsi="宋体" w:cs="Times New Roman"/>
                <w:b/>
                <w:color w:val="auto"/>
                <w:spacing w:val="0"/>
                <w:sz w:val="32"/>
                <w:szCs w:val="32"/>
                <w:highlight w:val="none"/>
                <w:lang w:val="zh-CN" w:eastAsia="zh-CN" w:bidi="ar-SA"/>
              </w:rPr>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rPr>
                <w:rFonts w:hint="eastAsia" w:ascii="Arial" w:hAnsi="宋体" w:eastAsia="宋体" w:cs="Times New Roman"/>
                <w:b/>
                <w:color w:val="auto"/>
                <w:spacing w:val="0"/>
                <w:sz w:val="32"/>
                <w:szCs w:val="32"/>
                <w:highlight w:val="none"/>
                <w:lang w:val="zh-CN" w:eastAsia="zh-CN" w:bidi="ar-SA"/>
              </w:rPr>
              <w:t xml:space="preserve">采 购 代 理</w:t>
            </w:r>
            <w:r>
              <w:rPr>
                <w:rFonts w:hint="eastAsia" w:ascii="Arial" w:hAnsi="宋体" w:eastAsia="宋体" w:cs="Times New Roman"/>
                <w:b/>
                <w:color w:val="auto"/>
                <w:spacing w:val="0"/>
                <w:sz w:val="32"/>
                <w:szCs w:val="32"/>
                <w:highlight w:val="none"/>
                <w:lang w:val="zh-CN" w:eastAsia="zh-CN" w:bidi="ar-SA"/>
              </w:rPr>
              <w:t xml:space="preserve">：</w:t>
            </w:r>
            <w:r/>
          </w:p>
        </w:tc>
        <w:tc>
          <w:tcPr>
            <w:tcW w:w="6687" w:type="dxa"/>
            <w:vAlign w:val="center"/>
            <w:textDirection w:val="lrTb"/>
            <w:noWrap w:val="false"/>
          </w:tcPr>
          <w:p>
            <w:pPr>
              <w:pStyle w:val="832"/>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连云港上和工程咨询有限公司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32"/>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818"/>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32"/>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435759884"/>
            <w:r/>
            <w:bookmarkEnd w:id="17"/>
            <w:r/>
            <w:bookmarkStart w:id="18" w:name="_1297771658"/>
            <w:r/>
            <w:bookmarkEnd w:id="18"/>
            <w:r/>
            <w:bookmarkStart w:id="19" w:name="_1298271315"/>
            <w:r/>
            <w:bookmarkEnd w:id="19"/>
            <w:r/>
            <w:bookmarkStart w:id="20" w:name="_1467808401"/>
            <w:r/>
            <w:bookmarkEnd w:id="20"/>
            <w:r/>
            <w:bookmarkStart w:id="21" w:name="_1279442339"/>
            <w:r/>
            <w:bookmarkEnd w:id="21"/>
            <w:r/>
            <w:bookmarkStart w:id="22" w:name="_1336909890"/>
            <w:r/>
            <w:bookmarkEnd w:id="22"/>
            <w:r/>
            <w:bookmarkStart w:id="23" w:name="_1435736218"/>
            <w:r/>
            <w:bookmarkEnd w:id="23"/>
            <w:r/>
            <w:bookmarkStart w:id="24" w:name="_1407131738"/>
            <w:r/>
            <w:bookmarkEnd w:id="24"/>
            <w:r/>
            <w:bookmarkStart w:id="25" w:name="_1468218264"/>
            <w:r/>
            <w:bookmarkEnd w:id="25"/>
            <w:r/>
            <w:bookmarkStart w:id="26" w:name="_1291189843"/>
            <w:r/>
            <w:bookmarkEnd w:id="26"/>
            <w:r/>
            <w:bookmarkStart w:id="27" w:name="_1297758037"/>
            <w:r/>
            <w:bookmarkEnd w:id="27"/>
            <w:r/>
            <w:bookmarkStart w:id="28" w:name="_1407649454"/>
            <w:r/>
            <w:bookmarkEnd w:id="28"/>
            <w:r/>
            <w:bookmarkStart w:id="29" w:name="_1278423018"/>
            <w:r/>
            <w:bookmarkEnd w:id="29"/>
            <w:r/>
            <w:bookmarkStart w:id="30" w:name="_1479037598"/>
            <w:r/>
            <w:bookmarkEnd w:id="30"/>
            <w:r/>
            <w:bookmarkStart w:id="31" w:name="_1291464772"/>
            <w:r/>
            <w:bookmarkEnd w:id="31"/>
            <w:r/>
            <w:bookmarkStart w:id="32" w:name="_1372599208"/>
            <w:r/>
            <w:bookmarkEnd w:id="32"/>
            <w:r/>
            <w:bookmarkStart w:id="33" w:name="_1407138454"/>
            <w:r/>
            <w:bookmarkEnd w:id="33"/>
            <w:r/>
            <w:bookmarkStart w:id="34" w:name="_1336475279"/>
            <w:r/>
            <w:bookmarkEnd w:id="34"/>
            <w:r/>
            <w:bookmarkStart w:id="35" w:name="_1468217283"/>
            <w:r/>
            <w:bookmarkEnd w:id="35"/>
            <w:r/>
            <w:bookmarkStart w:id="36" w:name="_1278423854"/>
            <w:r/>
            <w:bookmarkEnd w:id="36"/>
            <w:r/>
            <w:bookmarkStart w:id="37" w:name="_1372492890"/>
            <w:r/>
            <w:bookmarkEnd w:id="37"/>
            <w:r/>
            <w:bookmarkStart w:id="38" w:name="_1372599658"/>
            <w:r/>
            <w:bookmarkEnd w:id="38"/>
            <w:r/>
            <w:bookmarkStart w:id="39" w:name="_1407133253"/>
            <w:r/>
            <w:bookmarkEnd w:id="39"/>
            <w:r/>
            <w:bookmarkStart w:id="40" w:name="_1448089845"/>
            <w:r/>
            <w:bookmarkEnd w:id="40"/>
            <w:r/>
            <w:bookmarkStart w:id="41" w:name="_1291116219"/>
            <w:r/>
            <w:bookmarkEnd w:id="41"/>
            <w:r/>
            <w:bookmarkStart w:id="42" w:name="_1298270684"/>
            <w:r/>
            <w:bookmarkEnd w:id="42"/>
            <w:r/>
            <w:bookmarkStart w:id="43" w:name="_1297771980"/>
            <w:r/>
            <w:bookmarkEnd w:id="43"/>
            <w:r/>
            <w:bookmarkStart w:id="44" w:name="_1297752558"/>
            <w:r/>
            <w:bookmarkEnd w:id="44"/>
            <w:r/>
            <w:bookmarkStart w:id="45" w:name="_1372492601"/>
            <w:r/>
            <w:bookmarkEnd w:id="45"/>
            <w:r/>
            <w:bookmarkStart w:id="46" w:name="_1486968668"/>
            <w:r/>
            <w:bookmarkEnd w:id="46"/>
            <w:r/>
            <w:bookmarkStart w:id="47" w:name="_1297774439"/>
            <w:r/>
            <w:bookmarkEnd w:id="47"/>
            <w:r/>
            <w:bookmarkStart w:id="48" w:name="_1407154196"/>
            <w:r/>
            <w:bookmarkEnd w:id="48"/>
            <w:r/>
            <w:bookmarkStart w:id="49" w:name="_1447850345"/>
            <w:r/>
            <w:bookmarkEnd w:id="49"/>
            <w:r/>
            <w:bookmarkStart w:id="50" w:name="_1407138770"/>
            <w:r/>
            <w:bookmarkEnd w:id="50"/>
            <w:r/>
            <w:bookmarkStart w:id="51" w:name="_1471955348"/>
            <w:r/>
            <w:bookmarkEnd w:id="51"/>
            <w:r/>
            <w:bookmarkStart w:id="52" w:name="_1337000242"/>
            <w:r/>
            <w:bookmarkEnd w:id="52"/>
            <w:r/>
            <w:bookmarkStart w:id="53" w:name="_1407132958"/>
            <w:r/>
            <w:bookmarkEnd w:id="53"/>
            <w:r/>
            <w:bookmarkStart w:id="54" w:name="_1407131003"/>
            <w:r/>
            <w:bookmarkEnd w:id="54"/>
            <w:r/>
            <w:bookmarkStart w:id="55" w:name="_1486967582"/>
            <w:r/>
            <w:bookmarkEnd w:id="55"/>
            <w:r/>
            <w:bookmarkStart w:id="56" w:name="_1280844196"/>
            <w:r/>
            <w:bookmarkEnd w:id="56"/>
            <w:r/>
            <w:bookmarkStart w:id="57" w:name="_1407051528"/>
            <w:r/>
            <w:bookmarkEnd w:id="57"/>
            <w:r/>
            <w:bookmarkStart w:id="58" w:name="_1468245416"/>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05</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32"/>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997"/>
      <w:r/>
      <w:bookmarkStart w:id="60" w:name="_Toc523502640"/>
      <w:r/>
      <w:bookmarkStart w:id="61" w:name="_Toc99113318"/>
      <w:r/>
      <w:bookmarkStart w:id="62" w:name="_Toc49762231"/>
      <w:r/>
      <w:bookmarkStart w:id="63" w:name="_Toc5037035"/>
      <w:r/>
      <w:bookmarkStart w:id="64" w:name="_Toc5244"/>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40"/>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黑体" w:hAnsi="黑体" w:eastAsia="黑体" w:cs="黑体"/>
          <w:color w:val="auto"/>
          <w:szCs w:val="28"/>
          <w:highlight w:val="none"/>
        </w:rPr>
        <w:fldChar w:fldCharType="end"/>
      </w:r>
      <w:r/>
    </w:p>
    <w:p>
      <w:pPr>
        <w:pStyle w:val="847"/>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808"/>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808"/>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9"/>
      <w:r/>
      <w:bookmarkStart w:id="68" w:name="OLE_LINK8"/>
      <w:r/>
      <w:bookmarkStart w:id="69" w:name="OLE_LINK32"/>
      <w:r/>
      <w:bookmarkStart w:id="70" w:name="OLE_LINK7"/>
      <w:r/>
      <w:bookmarkStart w:id="71" w:name="OLE_LINK28"/>
      <w:r/>
      <w:bookmarkStart w:id="72" w:name="OLE_LINK36"/>
      <w:r/>
      <w:bookmarkStart w:id="73" w:name="OLE_LINK23"/>
      <w:r/>
      <w:bookmarkStart w:id="74" w:name="OLE_LINK26"/>
      <w:r/>
      <w:bookmarkStart w:id="75" w:name="OLE_LINK16"/>
      <w:r/>
      <w:bookmarkStart w:id="76" w:name="OLE_LINK12"/>
      <w:r/>
      <w:bookmarkStart w:id="77" w:name="OLE_LINK19"/>
      <w:r/>
      <w:bookmarkStart w:id="78" w:name="OLE_LINK20"/>
      <w:r/>
      <w:bookmarkStart w:id="79" w:name="OLE_LINK11"/>
      <w:r/>
      <w:bookmarkStart w:id="80" w:name="OLE_LINK33"/>
      <w:r/>
      <w:bookmarkStart w:id="81" w:name="OLE_LINK34"/>
      <w:r/>
      <w:bookmarkStart w:id="82" w:name="OLE_LINK21"/>
      <w:r/>
      <w:bookmarkStart w:id="83" w:name="OLE_LINK22"/>
      <w:r/>
      <w:bookmarkStart w:id="84" w:name="OLE_LINK10"/>
      <w:r/>
      <w:bookmarkStart w:id="85" w:name="OLE_LINK35"/>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云台农场公安派出所营房建设项目</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b/>
          <w:bCs/>
          <w:color w:val="auto"/>
          <w:szCs w:val="21"/>
          <w:highlight w:val="none"/>
          <w:u w:val="single"/>
        </w:rPr>
        <w:t xml:space="preserve">202</w:t>
      </w:r>
      <w:r>
        <w:rPr>
          <w:rFonts w:hint="eastAsia"/>
          <w:b/>
          <w:bCs/>
          <w:color w:val="auto"/>
          <w:szCs w:val="21"/>
          <w:highlight w:val="none"/>
          <w:u w:val="single"/>
          <w:lang w:val="en-US" w:eastAsia="zh-CN"/>
        </w:rPr>
        <w:t xml:space="preserve">6</w:t>
      </w:r>
      <w:r>
        <w:rPr>
          <w:rFonts w:hAnsi="宋体"/>
          <w:b/>
          <w:bCs/>
          <w:color w:val="auto"/>
          <w:szCs w:val="21"/>
          <w:highlight w:val="none"/>
          <w:u w:val="single"/>
        </w:rPr>
        <w:t xml:space="preserve">年</w:t>
      </w:r>
      <w:r>
        <w:rPr>
          <w:rFonts w:ascii="Times New Roman" w:hAnsi="Times New Roman" w:eastAsia="Times New Roman" w:cs="Times New Roman"/>
          <w:b/>
          <w:color w:val="000000"/>
          <w:sz w:val="21"/>
          <w:highlight w:val="none"/>
          <w:u w:val="single"/>
        </w:rPr>
        <w:t xml:space="preserve">06</w:t>
      </w:r>
      <w:r>
        <w:rPr>
          <w:rFonts w:hint="eastAsia" w:hAnsi="宋体"/>
          <w:b/>
          <w:bCs/>
          <w:color w:val="auto"/>
          <w:szCs w:val="21"/>
          <w:highlight w:val="none"/>
          <w:u w:val="single"/>
          <w:lang w:val="en-US" w:eastAsia="zh-CN"/>
        </w:rPr>
        <w:t xml:space="preserve">月</w:t>
      </w:r>
      <w:r>
        <w:rPr>
          <w:rFonts w:ascii="Times New Roman" w:hAnsi="Times New Roman" w:eastAsia="Times New Roman" w:cs="Times New Roman"/>
          <w:b/>
          <w:color w:val="000000"/>
          <w:sz w:val="21"/>
          <w:highlight w:val="none"/>
          <w:u w:val="single"/>
        </w:rPr>
        <w:t xml:space="preserve">09</w:t>
      </w:r>
      <w:r>
        <w:rPr>
          <w:rFonts w:hAnsi="宋体"/>
          <w:b/>
          <w:bCs/>
          <w:color w:val="auto"/>
          <w:szCs w:val="21"/>
          <w:highlight w:val="none"/>
          <w:u w:val="single"/>
        </w:rPr>
        <w:t xml:space="preserve">日</w:t>
      </w:r>
      <w:r>
        <w:rPr>
          <w:rFonts w:ascii="Times New Roman" w:hAnsi="Times New Roman" w:eastAsia="Times New Roman" w:cs="Times New Roman"/>
          <w:b/>
          <w:color w:val="000000"/>
          <w:sz w:val="21"/>
          <w:highlight w:val="none"/>
          <w:u w:val="single"/>
        </w:rPr>
        <w:t xml:space="preserve">09</w:t>
      </w:r>
      <w:r>
        <w:rPr>
          <w:rFonts w:hAnsi="宋体"/>
          <w:b/>
          <w:bCs/>
          <w:color w:val="auto"/>
          <w:szCs w:val="21"/>
          <w:highlight w:val="none"/>
          <w:u w:val="single"/>
        </w:rPr>
        <w:t xml:space="preserve">点</w:t>
      </w:r>
      <w:r>
        <w:rPr>
          <w:rFonts w:ascii="Times New Roman" w:hAnsi="Times New Roman" w:eastAsia="Times New Roman" w:cs="Times New Roman"/>
          <w:b/>
          <w:color w:val="000000"/>
          <w:sz w:val="21"/>
          <w:highlight w:val="none"/>
          <w:u w:val="single"/>
        </w:rPr>
        <w:t xml:space="preserve">00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51"/>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51"/>
        <w:contextualSpacing/>
        <w:ind w:firstLine="420"/>
        <w:keepLines w:val="0"/>
        <w:keepNext w:val="0"/>
        <w:pageBreakBefore w:val="0"/>
        <w:spacing w:before="0" w:beforeAutospacing="0" w:after="0" w:afterAutospacing="0" w:line="480" w:lineRule="exact"/>
        <w:rPr>
          <w:rFonts w:hint="default"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项目编号：</w:t>
      </w:r>
      <w:r>
        <w:rPr>
          <w:rFonts w:hint="eastAsia" w:ascii="Times New Roman" w:cs="Times New Roman"/>
          <w:color w:val="auto"/>
          <w:sz w:val="21"/>
          <w:szCs w:val="21"/>
          <w:highlight w:val="none"/>
          <w:lang w:val="en-US" w:eastAsia="zh-CN"/>
        </w:rPr>
        <w:t xml:space="preserve">JSZC-320700-SHGS-C2026-0005</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项目名称：云台农场公安派出所营房建设项目</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300.00万元</w:t>
      </w:r>
      <w:r>
        <w:rPr>
          <w:rFonts w:hint="eastAsia" w:ascii="Times New Roman" w:cs="Times New Roman"/>
          <w:color w:val="auto"/>
          <w:sz w:val="21"/>
          <w:szCs w:val="21"/>
          <w:highlight w:val="none"/>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259.96万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采购需求：云台农场公安派出所营房建设项目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90</w:t>
      </w:r>
      <w:r>
        <w:rPr>
          <w:rFonts w:hint="eastAsia" w:ascii="Times New Roman" w:cs="Times New Roman"/>
          <w:b/>
          <w:bCs/>
          <w:color w:val="auto"/>
          <w:sz w:val="21"/>
          <w:szCs w:val="21"/>
          <w:highlight w:val="none"/>
        </w:rPr>
        <w:t xml:space="preserve">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eastAsia="zh-CN"/>
        </w:rPr>
        <w:t xml:space="preserve">云台农场。</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51"/>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51"/>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51"/>
        <w:contextualSpacing/>
        <w:ind w:firstLine="42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51"/>
        <w:contextualSpacing/>
        <w:ind w:firstLine="632"/>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51"/>
        <w:contextualSpacing/>
        <w:ind w:firstLine="420"/>
        <w:keepLines w:val="0"/>
        <w:keepNext w:val="0"/>
        <w:pageBreakBefore w:val="0"/>
        <w:spacing w:before="0" w:beforeAutospacing="0" w:after="0" w:afterAutospacing="0" w:line="480" w:lineRule="exact"/>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hAnsi="Times New Roman" w:eastAsia="宋体" w:cs="Times New Roman"/>
          <w:b/>
          <w:bCs/>
          <w:color w:val="auto"/>
          <w:sz w:val="21"/>
          <w:szCs w:val="21"/>
          <w:highlight w:val="none"/>
          <w:lang w:eastAsia="zh-CN"/>
        </w:rPr>
        <w:t xml:space="preserve">有效的建筑装修装饰工程专业承包二级及以上资质</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hAnsi="Times New Roman" w:eastAsia="宋体" w:cs="Times New Roman"/>
          <w:b/>
          <w:bCs/>
          <w:color w:val="auto"/>
          <w:sz w:val="21"/>
          <w:szCs w:val="21"/>
          <w:highlight w:val="none"/>
          <w:lang w:eastAsia="zh-CN"/>
        </w:rPr>
        <w:t xml:space="preserve">且具有有效的安全生产许可证；</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w:t>
      </w:r>
      <w:r>
        <w:rPr>
          <w:rFonts w:hint="eastAsia" w:ascii="宋体" w:hAnsi="宋体" w:eastAsia="宋体" w:cs="宋体"/>
          <w:sz w:val="21"/>
          <w:szCs w:val="21"/>
          <w:highlight w:val="none"/>
        </w:rPr>
        <w:t xml:space="preserve">项目负责人必须满足下列条件：</w:t>
      </w:r>
      <w:r/>
    </w:p>
    <w:p>
      <w:pPr>
        <w:ind w:firstLine="63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①</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项目负责人不得同时在两个或者两个以上单位受聘或者执业： </w:t>
      </w:r>
      <w:r/>
    </w:p>
    <w:p>
      <w:pPr>
        <w:ind w:firstLine="63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②</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632"/>
        <w:jc w:val="left"/>
        <w:keepLines w:val="0"/>
        <w:keepNext w:val="0"/>
        <w:pageBreakBefore w:val="0"/>
        <w:spacing w:line="360" w:lineRule="auto"/>
        <w:rPr>
          <w:rFonts w:hint="eastAsia" w:ascii="宋体" w:hAnsi="宋体" w:cs="宋体"/>
          <w:b/>
          <w:bCs/>
          <w:sz w:val="21"/>
          <w:szCs w:val="21"/>
          <w:highlight w:val="none"/>
          <w:lang w:eastAsia="zh-CN"/>
        </w:rPr>
      </w:pPr>
      <w:r>
        <w:rPr>
          <w:rFonts w:hint="eastAsia" w:ascii="宋体" w:hAnsi="宋体" w:eastAsia="宋体" w:cs="宋体"/>
          <w:b/>
          <w:bCs/>
          <w:sz w:val="21"/>
          <w:szCs w:val="21"/>
          <w:highlight w:val="none"/>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630"/>
        <w:jc w:val="left"/>
        <w:keepLines w:val="0"/>
        <w:keepNext w:val="0"/>
        <w:pageBreakBefore w:val="0"/>
        <w:spacing w:line="360" w:lineRule="auto"/>
        <w:rPr>
          <w:rFonts w:hint="eastAsia" w:ascii="Times New Roman" w:cs="Times New Roman"/>
          <w:color w:val="auto"/>
          <w:sz w:val="21"/>
          <w:szCs w:val="21"/>
          <w:highlight w:val="none"/>
          <w:lang w:eastAsia="zh-CN"/>
        </w:rPr>
      </w:pPr>
      <w:r>
        <w:rPr>
          <w:rFonts w:hint="eastAsia" w:ascii="宋体" w:hAnsi="宋体" w:cs="宋体"/>
          <w:sz w:val="21"/>
          <w:szCs w:val="21"/>
          <w:highlight w:val="none"/>
          <w:lang w:eastAsia="zh-CN"/>
        </w:rPr>
        <w:t xml:space="preserve">③</w:t>
      </w:r>
      <w:r>
        <w:rPr>
          <w:rFonts w:hint="eastAsia" w:ascii="宋体" w:hAnsi="宋体" w:cs="宋体"/>
          <w:sz w:val="21"/>
          <w:szCs w:val="21"/>
          <w:highlight w:val="none"/>
          <w:lang w:val="en-US" w:eastAsia="zh-CN"/>
        </w:rPr>
        <w:t xml:space="preserve"> </w:t>
      </w:r>
      <w:r>
        <w:rPr>
          <w:rFonts w:hint="eastAsia" w:ascii="Times New Roman" w:cs="Times New Roman"/>
          <w:color w:val="auto"/>
          <w:sz w:val="21"/>
          <w:szCs w:val="21"/>
          <w:highlight w:val="none"/>
        </w:rPr>
        <w:t xml:space="preserve">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建筑工程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cs="Times New Roman"/>
          <w:color w:val="auto"/>
          <w:sz w:val="21"/>
          <w:szCs w:val="21"/>
          <w:highlight w:val="none"/>
          <w:lang w:eastAsia="zh-CN"/>
        </w:rPr>
        <w:t xml:space="preserve">。</w:t>
      </w:r>
      <w:r>
        <w:rPr>
          <w:rFonts w:hint="eastAsia" w:ascii="宋体" w:hAnsi="宋体" w:eastAsia="宋体" w:cs="宋体"/>
          <w:sz w:val="21"/>
          <w:szCs w:val="21"/>
          <w:highlight w:val="none"/>
        </w:rPr>
        <w:t xml:space="preserve">高等院校、科研机构、军事管理等部门从事工程设计、施工的技术人员不能提供社会保险缴纳证明的，由所在单位上级人事主管部门提供相应的证明材料，已退休仍在执业有效期内的可提供退休证明及聘用合同）。</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w:t>
      </w:r>
      <w:r>
        <w:rPr>
          <w:rFonts w:hint="eastAsia" w:cs="Times New Roman"/>
          <w:b/>
          <w:bCs/>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扫描件</w:t>
      </w:r>
      <w:r>
        <w:rPr>
          <w:rFonts w:hint="eastAsia" w:cs="Times New Roman"/>
          <w:b/>
          <w:bCs/>
          <w:color w:val="auto"/>
          <w:sz w:val="21"/>
          <w:szCs w:val="21"/>
          <w:highlight w:val="none"/>
          <w:lang w:eastAsia="zh-CN"/>
        </w:rPr>
        <w:t xml:space="preserve">，项目负责人无在建等承诺文件</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ind w:right="0"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outlineLvl w:val="9"/>
      </w:pPr>
      <w:r>
        <w:rPr>
          <w:rFonts w:hint="eastAsia" w:ascii="Times New Roman" w:hAnsi="Times New Roman" w:eastAsia="宋体" w:cs="Times New Roman"/>
          <w:color w:val="auto"/>
          <w:sz w:val="21"/>
          <w:szCs w:val="21"/>
          <w:highlight w:val="none"/>
          <w:lang w:val="en-US" w:eastAsia="zh-CN" w:bidi="ar-SA"/>
        </w:rPr>
        <w:t xml:space="preserve">（5）不拖欠农民工工资承诺；（</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hAnsi="Times New Roman" w:eastAsia="宋体" w:cs="Times New Roman"/>
          <w:color w:val="auto"/>
          <w:sz w:val="21"/>
          <w:szCs w:val="21"/>
          <w:highlight w:val="none"/>
          <w:lang w:val="en-US" w:eastAsia="zh-CN" w:bidi="ar-SA"/>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6）资格审查环节现场查询“信用中国”网站（www.creditchina.gov.cn），供应商被列入失信被执行人、重大税收违法案件当事人名单、政府采购严重失信行为记录名单及其他不符合《中华人民共和国政府采购法》第二十二条规定</w:t>
      </w:r>
      <w:r>
        <w:rPr>
          <w:rFonts w:hint="eastAsia" w:ascii="Times New Roman" w:cs="Times New Roman"/>
          <w:color w:val="auto"/>
          <w:sz w:val="21"/>
          <w:szCs w:val="21"/>
          <w:highlight w:val="none"/>
        </w:rPr>
        <w:t xml:space="preserve">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51"/>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51"/>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51"/>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51"/>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51"/>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hint="eastAsia" w:ascii="宋体" w:hAnsi="宋体" w:cs="宋体"/>
          <w:b/>
          <w:color w:val="auto"/>
          <w:szCs w:val="21"/>
          <w:highlight w:val="none"/>
        </w:rPr>
        <w:t xml:space="preserve">2026年06月09日09点00分</w:t>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hint="eastAsia" w:ascii="宋体" w:hAnsi="宋体" w:cs="宋体"/>
          <w:b/>
          <w:color w:val="auto"/>
          <w:szCs w:val="21"/>
          <w:highlight w:val="none"/>
        </w:rPr>
        <w:t xml:space="preserve">：</w:t>
      </w:r>
      <w:r>
        <w:rPr>
          <w:rFonts w:hint="eastAsia" w:ascii="宋体" w:hAnsi="宋体" w:cs="宋体"/>
          <w:b/>
          <w:color w:val="auto"/>
          <w:szCs w:val="21"/>
          <w:highlight w:val="none"/>
        </w:rPr>
        <w:t xml:space="preserve">2026年06月09日09点00分</w:t>
      </w:r>
      <w:r/>
      <w:r>
        <w:rPr>
          <w:rFonts w:hint="eastAsia" w:ascii="宋体" w:hAnsi="宋体" w:cs="宋体"/>
          <w:b/>
          <w:color w:val="auto"/>
          <w:szCs w:val="21"/>
          <w:highlight w:val="yellow"/>
        </w:rPr>
      </w:r>
      <w:r>
        <w:rPr>
          <w:rFonts w:hint="eastAsia" w:ascii="宋体" w:hAnsi="宋体" w:cs="宋体"/>
          <w:b/>
          <w:color w:val="auto"/>
          <w:szCs w:val="21"/>
          <w:highlight w:val="none"/>
        </w:rPr>
        <w:t xml:space="preserve">（北京时间）</w:t>
      </w: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pStyle w:val="851"/>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51"/>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51"/>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51"/>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51"/>
        <w:contextualSpacing/>
        <w:ind w:firstLine="422"/>
        <w:keepLines w:val="0"/>
        <w:keepNext w:val="0"/>
        <w:pageBreakBefore w:val="0"/>
        <w:spacing w:before="0" w:beforeAutospacing="0" w:after="0" w:afterAutospacing="0"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5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hAnsi="宋体" w:cs="宋体"/>
          <w:color w:val="auto"/>
          <w:sz w:val="21"/>
          <w:szCs w:val="21"/>
          <w:highlight w:val="none"/>
          <w:lang w:eastAsia="zh-CN"/>
        </w:rPr>
      </w:r>
      <w:r>
        <w:rPr>
          <w:rFonts w:ascii="Arial" w:hAnsi="Arial" w:eastAsia="Arial" w:cs="Arial"/>
          <w:color w:val="000000"/>
          <w:sz w:val="21"/>
          <w:highlight w:val="white"/>
        </w:rPr>
      </w:r>
      <w:r>
        <w:rPr>
          <w:rFonts w:ascii="Arial" w:hAnsi="Arial" w:eastAsia="Arial" w:cs="Arial"/>
          <w:color w:val="000000"/>
          <w:sz w:val="21"/>
          <w:highlight w:val="white"/>
        </w:rPr>
        <w:t xml:space="preserve">连云港市公安局高新技术产业园区分局</w:t>
      </w:r>
      <w:r>
        <w:rPr>
          <w:rFonts w:ascii="Arial" w:hAnsi="Arial" w:eastAsia="Arial" w:cs="Arial"/>
          <w:color w:val="000000"/>
          <w:sz w:val="21"/>
          <w:highlight w:val="white"/>
        </w:rPr>
      </w:r>
      <w:r>
        <w:rPr>
          <w:rFonts w:hint="eastAsia" w:hAnsi="宋体" w:cs="宋体"/>
          <w:color w:val="auto"/>
          <w:sz w:val="21"/>
          <w:szCs w:val="21"/>
          <w:highlight w:val="none"/>
          <w:lang w:eastAsia="zh-CN"/>
        </w:rPr>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联系电话：15861232100</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851"/>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rPr>
        <w:t xml:space="preserve">联系地址：</w:t>
      </w:r>
      <w:r>
        <w:rPr>
          <w:rFonts w:ascii="SimSun" w:hAnsi="SimSun" w:eastAsia="SimSun" w:cs="SimSun"/>
          <w:color w:val="000000"/>
          <w:sz w:val="21"/>
          <w:highlight w:val="none"/>
        </w:rPr>
        <w:t xml:space="preserve">连云港市花果山大道36号</w:t>
      </w:r>
      <w:r>
        <w:rPr>
          <w:rFonts w:hint="eastAsia" w:hAnsi="宋体" w:cs="宋体"/>
          <w:color w:val="auto"/>
          <w:sz w:val="21"/>
          <w:szCs w:val="21"/>
          <w:highlight w:val="yellow"/>
          <w:lang w:val="en-US" w:eastAsia="zh-CN"/>
        </w:rPr>
        <w:t xml:space="preserve"> </w:t>
      </w:r>
      <w:r/>
    </w:p>
    <w:p>
      <w:pPr>
        <w:pStyle w:val="85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w:t>
      </w:r>
      <w:r>
        <w:rPr>
          <w:rFonts w:hint="eastAsia" w:hAnsi="宋体" w:cs="宋体"/>
          <w:color w:val="auto"/>
          <w:sz w:val="21"/>
          <w:szCs w:val="21"/>
          <w:highlight w:val="none"/>
          <w:lang w:eastAsia="zh-CN"/>
        </w:rPr>
        <w:t xml:space="preserve">连云港上和工程咨询有限公司</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cs="宋体"/>
          <w:sz w:val="21"/>
          <w:szCs w:val="21"/>
          <w:highlight w:val="none"/>
        </w:rPr>
        <w:t xml:space="preserve">连云港市连云区连云新城广州路88号国际商务中心503室</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hAnsi="宋体" w:cs="宋体"/>
          <w:color w:val="auto"/>
          <w:sz w:val="21"/>
          <w:szCs w:val="21"/>
          <w:highlight w:val="none"/>
          <w:lang w:val="en-US" w:eastAsia="zh-CN"/>
        </w:rPr>
        <w:t xml:space="preserve">卜思允</w:t>
      </w:r>
      <w:r/>
    </w:p>
    <w:p>
      <w:pPr>
        <w:pStyle w:val="851"/>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hAnsi="宋体" w:cs="宋体"/>
          <w:b w:val="0"/>
          <w:bCs w:val="0"/>
          <w:spacing w:val="-4"/>
          <w:sz w:val="21"/>
          <w:szCs w:val="21"/>
          <w:highlight w:val="none"/>
          <w:lang w:val="en-US" w:eastAsia="zh-CN"/>
        </w:rPr>
        <w:t xml:space="preserve">0518-85588595</w:t>
      </w:r>
      <w:r/>
    </w:p>
    <w:p>
      <w:pPr>
        <w:pStyle w:val="851"/>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联系人：张明</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851"/>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联系电话：15861232100</w:t>
      </w:r>
      <w:r>
        <w:rPr>
          <w:rFonts w:hint="eastAsia" w:hAnsi="宋体" w:cs="宋体"/>
          <w:color w:val="auto"/>
          <w:sz w:val="21"/>
          <w:szCs w:val="21"/>
          <w:highlight w:val="none"/>
          <w:lang w:val="en-US" w:eastAsia="zh-CN"/>
        </w:rPr>
        <w:t xml:space="preserve"> </w:t>
      </w:r>
      <w:r/>
    </w:p>
    <w:p>
      <w:pPr>
        <w:pStyle w:val="875"/>
        <w:keepLines w:val="0"/>
        <w:keepNext w:val="0"/>
        <w:pageBreakBefore w:val="0"/>
        <w:spacing w:line="480" w:lineRule="exact"/>
        <w:rPr>
          <w:rFonts w:ascii="宋体" w:hAnsi="宋体" w:eastAsia="宋体" w:cs="宋体"/>
          <w:b/>
          <w:bCs/>
          <w:color w:val="auto"/>
          <w:sz w:val="21"/>
          <w:szCs w:val="21"/>
          <w:highlight w:val="none"/>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  20</w:t>
      </w: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28</w:t>
      </w:r>
      <w:r>
        <w:rPr>
          <w:rFonts w:hint="eastAsia" w:ascii="宋体" w:hAnsi="宋体" w:eastAsia="宋体" w:cs="宋体"/>
          <w:b/>
          <w:bCs/>
          <w:color w:val="auto"/>
          <w:sz w:val="21"/>
          <w:szCs w:val="21"/>
          <w:highlight w:val="none"/>
        </w:rPr>
        <w:t xml:space="preserve">日</w:t>
      </w:r>
      <w:r/>
    </w:p>
    <w:p>
      <w:pPr>
        <w:rPr>
          <w:color w:val="auto"/>
          <w:highlight w:val="none"/>
        </w:rPr>
      </w:pPr>
      <w:r/>
      <w:bookmarkStart w:id="86" w:name="_Toc61149549"/>
      <w:r/>
      <w:bookmarkStart w:id="87" w:name="_Toc513029209"/>
      <w:r/>
      <w:bookmarkStart w:id="88" w:name="_Toc14577347"/>
      <w:r/>
      <w:r/>
    </w:p>
    <w:p>
      <w:pPr>
        <w:pStyle w:val="808"/>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16938553"/>
      <w:r/>
      <w:bookmarkStart w:id="92" w:name="_Toc513029237"/>
      <w:r/>
      <w:bookmarkStart w:id="93" w:name="_Toc20823309"/>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51"/>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40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40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20823283"/>
      <w:r/>
      <w:bookmarkStart w:id="95" w:name="_Toc16938527"/>
      <w:r/>
      <w:bookmarkStart w:id="96" w:name="_Toc462564070"/>
      <w:r/>
      <w:bookmarkStart w:id="97" w:name="_Toc513029211"/>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670345"/>
      <w:r/>
      <w:bookmarkEnd w:id="98"/>
      <w:r/>
      <w:bookmarkStart w:id="99" w:name="_Hlt26954828"/>
      <w:r/>
      <w:bookmarkEnd w:id="99"/>
      <w:r/>
      <w:bookmarkStart w:id="100" w:name="_Hlt26670354"/>
      <w:r/>
      <w:bookmarkEnd w:id="100"/>
      <w:r/>
      <w:bookmarkStart w:id="101" w:name="_Hlt26670348"/>
      <w:r/>
      <w:bookmarkEnd w:id="101"/>
      <w:r/>
      <w:bookmarkStart w:id="102" w:name="_Hlt26954832"/>
      <w:r/>
      <w:bookmarkEnd w:id="102"/>
      <w:r/>
      <w:bookmarkStart w:id="103" w:name="_Hlt26668969"/>
      <w:r/>
      <w:bookmarkEnd w:id="103"/>
      <w:r/>
      <w:bookmarkStart w:id="104" w:name="_Hlt26954830"/>
      <w:r/>
      <w:bookmarkEnd w:id="104"/>
      <w:r/>
      <w:bookmarkStart w:id="105" w:name="_Toc462564072"/>
      <w:r/>
      <w:bookmarkStart w:id="106" w:name="_Toc61149553"/>
      <w:r/>
      <w:bookmarkStart w:id="107" w:name="_Toc14577351"/>
      <w:r/>
      <w:bookmarkStart w:id="108" w:name="_Toc513029213"/>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513029215"/>
      <w:r/>
      <w:bookmarkStart w:id="112" w:name="_Toc462564074"/>
      <w:r/>
      <w:bookmarkStart w:id="113" w:name="_Toc14577353"/>
      <w:r/>
      <w:bookmarkStart w:id="114" w:name="_Toc61149555"/>
      <w:r/>
      <w:bookmarkStart w:id="115" w:name="_Toc61149554"/>
      <w:r/>
      <w:bookmarkStart w:id="116" w:name="_Toc462564073"/>
      <w:r/>
      <w:bookmarkStart w:id="117" w:name="_Toc14577352"/>
      <w:r/>
      <w:bookmarkStart w:id="118" w:name="_Toc513029214"/>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954836"/>
      <w:r/>
      <w:bookmarkEnd w:id="119"/>
      <w:r/>
      <w:bookmarkStart w:id="120" w:name="_Hlt26670357"/>
      <w:r/>
      <w:bookmarkEnd w:id="120"/>
      <w:r/>
      <w:bookmarkStart w:id="121" w:name="_Toc61149558"/>
      <w:r/>
      <w:bookmarkStart w:id="122" w:name="_Toc14577357"/>
      <w:r/>
      <w:bookmarkStart w:id="123" w:name="_Toc513029219"/>
      <w:r/>
      <w:bookmarkStart w:id="124" w:name="_Toc513029217"/>
      <w:r/>
      <w:bookmarkStart w:id="125" w:name="_Toc61149557"/>
      <w:r/>
      <w:bookmarkStart w:id="126" w:name="_Toc14577355"/>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668983"/>
      <w:r/>
      <w:bookmarkEnd w:id="128"/>
      <w:r/>
      <w:bookmarkStart w:id="129" w:name="_Hlt26954731"/>
      <w:r/>
      <w:bookmarkEnd w:id="129"/>
      <w:r/>
      <w:bookmarkStart w:id="130" w:name="_Hlt26954842"/>
      <w:r/>
      <w:bookmarkEnd w:id="130"/>
      <w:r/>
      <w:bookmarkStart w:id="131" w:name="_Hlt26670486"/>
      <w:r/>
      <w:bookmarkEnd w:id="131"/>
      <w:r/>
      <w:bookmarkStart w:id="132" w:name="_Hlt26670425"/>
      <w:r/>
      <w:bookmarkEnd w:id="132"/>
      <w:r/>
      <w:bookmarkStart w:id="133" w:name="_Hlt26670482"/>
      <w:r/>
      <w:bookmarkEnd w:id="133"/>
      <w:r/>
      <w:bookmarkStart w:id="134" w:name="_Hlt26954844"/>
      <w:r/>
      <w:bookmarkEnd w:id="134"/>
      <w:r/>
      <w:bookmarkStart w:id="135" w:name="_Hlt26670403"/>
      <w:r/>
      <w:bookmarkEnd w:id="135"/>
      <w:r/>
      <w:bookmarkStart w:id="136" w:name="_Hlt26954846"/>
      <w:r/>
      <w:bookmarkEnd w:id="136"/>
      <w:r/>
      <w:bookmarkStart w:id="137" w:name="_Hlt26954848"/>
      <w:r/>
      <w:bookmarkEnd w:id="137"/>
      <w:r/>
      <w:bookmarkStart w:id="138" w:name="_Toc513029221"/>
      <w:r/>
      <w:bookmarkStart w:id="139" w:name="_Toc61149559"/>
      <w:r/>
      <w:bookmarkStart w:id="140" w:name="_Toc145773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954739"/>
      <w:r/>
      <w:bookmarkEnd w:id="141"/>
      <w:r/>
      <w:bookmarkStart w:id="142" w:name="_Hlt26954749"/>
      <w:r/>
      <w:bookmarkEnd w:id="142"/>
      <w:r/>
      <w:bookmarkStart w:id="143" w:name="_Hlt26954854"/>
      <w:r/>
      <w:bookmarkEnd w:id="143"/>
      <w:r/>
      <w:bookmarkStart w:id="144" w:name="_Hlt26954852"/>
      <w:r/>
      <w:bookmarkEnd w:id="144"/>
      <w:r/>
      <w:bookmarkStart w:id="145" w:name="_Hlt26954850"/>
      <w:r/>
      <w:bookmarkEnd w:id="145"/>
      <w:r/>
      <w:bookmarkStart w:id="146" w:name="_Hlt26670489"/>
      <w:r/>
      <w:bookmarkEnd w:id="146"/>
      <w:r/>
      <w:bookmarkStart w:id="147" w:name="_Hlt26670493"/>
      <w:r/>
      <w:bookmarkEnd w:id="147"/>
      <w:r/>
      <w:bookmarkStart w:id="148" w:name="_Hlt26954734"/>
      <w:r/>
      <w:bookmarkEnd w:id="148"/>
      <w:r/>
      <w:bookmarkStart w:id="149" w:name="_Toc513029224"/>
      <w:r/>
      <w:bookmarkStart w:id="150" w:name="_Toc61149562"/>
      <w:r/>
      <w:bookmarkStart w:id="151" w:name="_Toc14577362"/>
      <w:r/>
      <w:bookmarkStart w:id="152" w:name="_Toc1959"/>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16938546"/>
      <w:r/>
      <w:bookmarkStart w:id="158" w:name="_Toc20823302"/>
      <w:r/>
      <w:bookmarkStart w:id="159" w:name="_Toc513029230"/>
      <w:r/>
      <w:bookmarkStart w:id="160" w:name="_Toc513029235"/>
      <w:r/>
      <w:bookmarkStart w:id="161" w:name="_Toc20823307"/>
      <w:r/>
      <w:bookmarkStart w:id="162" w:name="_Toc16938551"/>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513029231"/>
      <w:r/>
      <w:bookmarkStart w:id="164" w:name="_Toc16938547"/>
      <w:r/>
      <w:bookmarkStart w:id="165" w:name="_Toc20823303"/>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20823304"/>
      <w:r/>
      <w:bookmarkStart w:id="167" w:name="_Toc16938548"/>
      <w:r/>
      <w:bookmarkStart w:id="168" w:name="_Toc513029232"/>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513029233"/>
      <w:r/>
      <w:bookmarkStart w:id="170" w:name="_Toc20823305"/>
      <w:r/>
      <w:bookmarkStart w:id="171" w:name="_Toc16938549"/>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51"/>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51"/>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51"/>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16938550"/>
      <w:r/>
      <w:bookmarkStart w:id="173" w:name="_Toc513029234"/>
      <w:r/>
      <w:bookmarkStart w:id="174" w:name="_Toc20823306"/>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16938554"/>
      <w:r/>
      <w:bookmarkStart w:id="178" w:name="_Toc20823310"/>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1027"/>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139966427"/>
      <w:r/>
      <w:bookmarkStart w:id="182" w:name="_Toc139967211"/>
      <w:r/>
      <w:bookmarkStart w:id="183" w:name="_Toc32045"/>
      <w:r/>
      <w:bookmarkStart w:id="184" w:name="_Toc513622228"/>
      <w:r/>
      <w:r/>
    </w:p>
    <w:p>
      <w:pPr>
        <w:pStyle w:val="823"/>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119"/>
        <w:ind w:firstLine="0"/>
        <w:jc w:val="center"/>
        <w:rPr>
          <w:rFonts w:hAnsi="宋体" w:cs="宋体"/>
          <w:b/>
          <w:bCs/>
          <w:color w:val="auto"/>
          <w:sz w:val="21"/>
          <w:szCs w:val="21"/>
          <w:highlight w:val="none"/>
        </w:rPr>
      </w:pPr>
      <w:r>
        <w:rPr>
          <w:rFonts w:hint="eastAsia" w:hAnsi="宋体" w:cs="宋体"/>
          <w:b/>
          <w:bCs/>
          <w:color w:val="auto"/>
          <w:sz w:val="21"/>
          <w:szCs w:val="21"/>
          <w:highlight w:val="none"/>
          <w:lang w:val="en-US" w:eastAsia="zh-CN"/>
        </w:rPr>
        <w:t xml:space="preserve">第一部分  合同</w:t>
      </w:r>
      <w:r>
        <w:rPr>
          <w:rFonts w:hint="eastAsia" w:hAnsi="宋体" w:cs="宋体"/>
          <w:b/>
          <w:bCs/>
          <w:color w:val="auto"/>
          <w:sz w:val="21"/>
          <w:szCs w:val="21"/>
          <w:highlight w:val="none"/>
        </w:rPr>
        <w:t xml:space="preserve">协议书</w:t>
      </w:r>
      <w:r/>
    </w:p>
    <w:p>
      <w:pPr>
        <w:pStyle w:val="1119"/>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云台农场公安派出所营房建设项目</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云台农场公安派出所营房建设项目</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cs="宋体"/>
          <w:sz w:val="21"/>
          <w:szCs w:val="21"/>
          <w:u w:val="single"/>
          <w:lang w:eastAsia="zh-CN"/>
        </w:rPr>
        <w:t xml:space="preserve">云台农场</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cs="宋体"/>
          <w:sz w:val="21"/>
          <w:szCs w:val="21"/>
          <w:u w:val="single"/>
          <w:lang w:eastAsia="zh-CN"/>
        </w:rPr>
        <w:t xml:space="preserve">云台农场公安派出所营房建设项目</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69"/>
          <w:rFonts w:hint="eastAsia" w:cs="Times New Roman"/>
          <w:sz w:val="21"/>
          <w:szCs w:val="21"/>
          <w:highlight w:val="none"/>
          <w:lang w:val="en-US" w:eastAsia="zh-CN"/>
        </w:rPr>
        <w:t xml:space="preserve">谈判</w:t>
      </w:r>
      <w:r>
        <w:rPr>
          <w:rStyle w:val="869"/>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75"/>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75"/>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75"/>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121"/>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121"/>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部分 </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部分</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 专用合同条款</w:t>
      </w:r>
      <w:r/>
    </w:p>
    <w:p>
      <w:pPr>
        <w:ind w:firstLine="480"/>
        <w:rPr>
          <w:rFonts w:hint="eastAsia" w:ascii="宋体" w:hAnsi="宋体" w:cs="宋体"/>
          <w:color w:val="auto"/>
          <w:highlight w:val="none"/>
        </w:rPr>
      </w:pPr>
      <w:r>
        <w:rPr>
          <w:rFonts w:hint="eastAsia" w:ascii="宋体" w:hAnsi="宋体" w:cs="宋体"/>
          <w:color w:val="auto"/>
          <w:highlight w:val="none"/>
        </w:rPr>
      </w:r>
      <w:r/>
    </w:p>
    <w:p>
      <w:pPr>
        <w:pStyle w:val="811"/>
        <w:pageBreakBefore w:val="0"/>
        <w:spacing w:before="120" w:after="120" w:line="440" w:lineRule="exact"/>
        <w:rPr>
          <w:rFonts w:hint="eastAsia" w:ascii="宋体" w:hAnsi="宋体" w:eastAsia="宋体" w:cs="宋体"/>
          <w:b/>
          <w:bCs w:val="0"/>
          <w:color w:val="auto"/>
          <w:sz w:val="21"/>
          <w:szCs w:val="21"/>
          <w:highlight w:val="none"/>
        </w:rPr>
      </w:pPr>
      <w:r/>
      <w:bookmarkStart w:id="199" w:name="_Toc351203633"/>
      <w:r>
        <w:rPr>
          <w:rFonts w:hint="eastAsia" w:ascii="宋体" w:hAnsi="宋体" w:eastAsia="宋体" w:cs="宋体"/>
          <w:b/>
          <w:bCs w:val="0"/>
          <w:color w:val="auto"/>
          <w:sz w:val="21"/>
          <w:szCs w:val="21"/>
          <w:highlight w:val="none"/>
        </w:rPr>
        <w:t xml:space="preserve">1</w:t>
      </w:r>
      <w:bookmarkStart w:id="200" w:name="_Toc296890984"/>
      <w:r/>
      <w:bookmarkStart w:id="201" w:name="_Toc296891196"/>
      <w:r/>
      <w:bookmarkStart w:id="202" w:name="_Toc292559361"/>
      <w:r/>
      <w:bookmarkStart w:id="203" w:name="_Toc296503156"/>
      <w:r/>
      <w:bookmarkStart w:id="204" w:name="_Toc297048342"/>
      <w:r/>
      <w:bookmarkStart w:id="205" w:name="_Toc297120456"/>
      <w:r/>
      <w:bookmarkStart w:id="206" w:name="_Toc292559866"/>
      <w:r/>
      <w:bookmarkStart w:id="207" w:name="_Toc296347155"/>
      <w:r/>
      <w:bookmarkStart w:id="208" w:name="_Toc296346657"/>
      <w:r/>
      <w:bookmarkStart w:id="209" w:name="_Toc296944495"/>
      <w:r>
        <w:rPr>
          <w:rFonts w:hint="eastAsia" w:ascii="宋体" w:hAnsi="宋体" w:eastAsia="宋体" w:cs="宋体"/>
          <w:b/>
          <w:bCs w:val="0"/>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招标文件、标准、规范及有关技术资料，合同履行中，发包人、承包人有关工程的洽商、变更等书面协议或文件视为本合同的组成部分。</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临时设施及永久占地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596"/>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适用于合同的其他规范性文件：《中华人民共和国建筑法》、《中华人民共和国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详见设计文件。同类标准中若国家有新颁布实施的，按新标准执行。当对同一问题颁布的标准、规范以及合同文件要求产生不一致时，以要求严格者为准。</w:t>
      </w:r>
      <w:r/>
    </w:p>
    <w:p>
      <w:pPr>
        <w:ind w:firstLine="420"/>
        <w:pageBreakBefore w:val="0"/>
        <w:spacing w:line="440" w:lineRule="exact"/>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596"/>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（2）中标通知书（如果有）；</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（3）招标文件；</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（4）投标函及其附录（如果有）；</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（5）专用合同条款及其附件；</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（6）通用合同条款；  </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（7）技术标准和要求；</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（8）图纸；</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（9）已标价工程量清单或预算书；</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（10）其他合同文件。</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合同协议书签订后3天内；</w:t>
      </w:r>
      <w:r/>
    </w:p>
    <w:p>
      <w:pPr>
        <w:ind w:firstLine="42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开工前提供全套施工图纸4套，若承包人需增加图纸份数，经发包人同意后由承包人复制，费用由承包人承担。</w:t>
      </w:r>
      <w:r/>
    </w:p>
    <w:p>
      <w:pPr>
        <w:ind w:firstLine="42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63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书面文件</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收到书面文件后7日内。</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承包人应在施工现场保留一套完整图纸，供工程师及有关人员进行工程检查时使用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项目所在地发包人项目部或项目所在地监理人办公室</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0" w:name="_Toc318581155"/>
      <w:r/>
      <w:bookmarkStart w:id="211" w:name="_Toc303539100"/>
      <w:r/>
      <w:bookmarkStart w:id="212" w:name="_Toc300934943"/>
      <w:r/>
      <w:bookmarkStart w:id="213" w:name="_Toc304295521"/>
      <w:r/>
      <w:bookmarkStart w:id="214" w:name="_Toc312677986"/>
      <w:r>
        <w:rPr>
          <w:rFonts w:hint="eastAsia" w:ascii="宋体" w:hAnsi="宋体" w:eastAsia="宋体" w:cs="宋体"/>
          <w:color w:val="auto"/>
          <w:sz w:val="21"/>
          <w:szCs w:val="21"/>
          <w:highlight w:val="none"/>
        </w:rPr>
        <w:t xml:space="preserve">.10.1 出入现场的权利</w:t>
      </w:r>
      <w:r/>
    </w:p>
    <w:p>
      <w:pPr>
        <w:ind w:left="596"/>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由承包人统一管理</w:t>
      </w:r>
      <w:r>
        <w:rPr>
          <w:rFonts w:hint="eastAsia" w:ascii="宋体" w:hAnsi="宋体" w:eastAsia="宋体" w:cs="宋体"/>
          <w:color w:val="auto"/>
          <w:sz w:val="21"/>
          <w:szCs w:val="21"/>
          <w:highlight w:val="none"/>
        </w:rPr>
        <w:t xml:space="preserve">。</w:t>
      </w:r>
      <w:bookmarkEnd w:id="210"/>
      <w:r/>
      <w:bookmarkEnd w:id="211"/>
      <w:r/>
      <w:bookmarkEnd w:id="212"/>
      <w:r/>
      <w:bookmarkEnd w:id="213"/>
      <w:r/>
      <w:bookmarkEnd w:id="214"/>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5" w:name="_Toc304295522"/>
      <w:r/>
      <w:bookmarkStart w:id="216" w:name="_Toc300934944"/>
      <w:r/>
      <w:bookmarkStart w:id="217" w:name="_Toc318581156"/>
      <w:r/>
      <w:bookmarkStart w:id="218" w:name="_Toc303539101"/>
      <w:r/>
      <w:bookmarkStart w:id="219" w:name="_Toc312677987"/>
      <w:r>
        <w:rPr>
          <w:rFonts w:hint="eastAsia" w:ascii="宋体" w:hAnsi="宋体" w:eastAsia="宋体" w:cs="宋体"/>
          <w:color w:val="auto"/>
          <w:sz w:val="21"/>
          <w:szCs w:val="21"/>
          <w:highlight w:val="none"/>
        </w:rPr>
        <w:t xml:space="preserve">.10.3 场内交通</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根据现场实际情况而定。</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w:t>
      </w:r>
      <w:r>
        <w:rPr>
          <w:rFonts w:hint="eastAsia" w:ascii="宋体" w:hAnsi="宋体" w:eastAsia="宋体" w:cs="宋体"/>
          <w:color w:val="auto"/>
          <w:sz w:val="21"/>
          <w:szCs w:val="21"/>
          <w:highlight w:val="none"/>
          <w:u w:val="single"/>
        </w:rPr>
        <w:t xml:space="preserve">现状</w:t>
      </w:r>
      <w:r>
        <w:rPr>
          <w:rFonts w:hint="eastAsia" w:ascii="宋体" w:hAnsi="宋体" w:eastAsia="宋体" w:cs="宋体"/>
          <w:color w:val="auto"/>
          <w:sz w:val="21"/>
          <w:szCs w:val="21"/>
          <w:highlight w:val="none"/>
        </w:rPr>
        <w:t xml:space="preserve">。</w:t>
      </w:r>
      <w:bookmarkEnd w:id="215"/>
      <w:r/>
      <w:bookmarkEnd w:id="216"/>
      <w:r/>
      <w:bookmarkEnd w:id="217"/>
      <w:r/>
      <w:bookmarkEnd w:id="218"/>
      <w:r/>
      <w:bookmarkEnd w:id="219"/>
      <w:r>
        <w:rPr>
          <w:rFonts w:hint="eastAsia" w:ascii="宋体" w:hAnsi="宋体" w:eastAsia="宋体" w:cs="宋体"/>
          <w:color w:val="auto"/>
          <w:sz w:val="21"/>
          <w:szCs w:val="21"/>
          <w:highlight w:val="none"/>
        </w:rPr>
        <w:t xml:space="preserve">  </w:t>
      </w:r>
      <w:bookmarkStart w:id="220" w:name="_Toc318581157"/>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bookmarkEnd w:id="220"/>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596"/>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由承包人承担，结算时不予调整，已含在合同价中。</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调整合同价款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书面上报发包人，由发包人确认后方可调整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工程量按实际完成量进行计量，综合单价不调整。</w:t>
      </w:r>
      <w:r/>
    </w:p>
    <w:p>
      <w:pPr>
        <w:pStyle w:val="811"/>
        <w:pageBreakBefore w:val="0"/>
        <w:spacing w:before="120" w:after="120" w:line="440" w:lineRule="exact"/>
        <w:rPr>
          <w:rFonts w:hint="eastAsia" w:ascii="宋体" w:hAnsi="宋体" w:eastAsia="宋体" w:cs="宋体"/>
          <w:b/>
          <w:bCs w:val="0"/>
          <w:color w:val="auto"/>
          <w:sz w:val="21"/>
          <w:szCs w:val="21"/>
          <w:highlight w:val="none"/>
        </w:rPr>
      </w:pPr>
      <w:r/>
      <w:bookmarkStart w:id="221" w:name="_Toc351203634"/>
      <w:r>
        <w:rPr>
          <w:rFonts w:hint="eastAsia" w:ascii="宋体" w:hAnsi="宋体" w:eastAsia="宋体" w:cs="宋体"/>
          <w:b/>
          <w:bCs w:val="0"/>
          <w:color w:val="auto"/>
          <w:sz w:val="21"/>
          <w:szCs w:val="21"/>
          <w:highlight w:val="none"/>
        </w:rPr>
        <w:t xml:space="preserve">2</w:t>
      </w:r>
      <w:bookmarkStart w:id="222" w:name="_Toc296347156"/>
      <w:r/>
      <w:bookmarkStart w:id="223" w:name="_Toc292559867"/>
      <w:r/>
      <w:bookmarkStart w:id="224" w:name="_Toc297048343"/>
      <w:r/>
      <w:bookmarkStart w:id="225" w:name="_Toc296890985"/>
      <w:r/>
      <w:bookmarkStart w:id="226" w:name="_Toc296503157"/>
      <w:r/>
      <w:bookmarkStart w:id="227" w:name="_Toc296346658"/>
      <w:r/>
      <w:bookmarkStart w:id="228" w:name="_Toc296891197"/>
      <w:r/>
      <w:bookmarkStart w:id="229" w:name="_Toc292559362"/>
      <w:r/>
      <w:bookmarkStart w:id="230" w:name="_Toc296944496"/>
      <w:r/>
      <w:bookmarkStart w:id="231" w:name="_Toc297120457"/>
      <w:r>
        <w:rPr>
          <w:rFonts w:hint="eastAsia" w:ascii="宋体" w:hAnsi="宋体" w:eastAsia="宋体" w:cs="宋体"/>
          <w:b/>
          <w:bCs w:val="0"/>
          <w:color w:val="auto"/>
          <w:sz w:val="21"/>
          <w:szCs w:val="21"/>
          <w:highlight w:val="none"/>
        </w:rPr>
        <w:t xml:space="preserve">. 发包人</w:t>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已具备</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发包人不提供水、电源，相关费用由承包人自理  。</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18"/>
        <w:ind w:firstLine="482"/>
        <w:keepLines/>
        <w:keepNext/>
        <w:pageBreakBefore w:val="0"/>
        <w:spacing w:before="0" w:after="0" w:line="360" w:lineRule="auto"/>
        <w:widowControl w:val="off"/>
        <w:rPr>
          <w:rFonts w:hint="eastAsia" w:ascii="宋体" w:hAnsi="宋体" w:eastAsia="宋体" w:cs="宋体"/>
          <w:color w:val="000000"/>
          <w:sz w:val="21"/>
          <w:szCs w:val="21"/>
          <w:highlight w:val="none"/>
        </w:rPr>
      </w:pPr>
      <w:r/>
      <w:bookmarkStart w:id="232" w:name="_Toc351203635"/>
      <w:r/>
      <w:bookmarkStart w:id="233" w:name="_Toc351203636"/>
      <w:r>
        <w:rPr>
          <w:rFonts w:hint="eastAsia" w:ascii="宋体" w:hAnsi="宋体" w:eastAsia="宋体" w:cs="宋体"/>
          <w:color w:val="000000"/>
          <w:sz w:val="21"/>
          <w:szCs w:val="21"/>
          <w:highlight w:val="none"/>
        </w:rPr>
        <w:t xml:space="preserve">3</w:t>
      </w:r>
      <w:bookmarkStart w:id="234" w:name="_Toc292559363"/>
      <w:r/>
      <w:bookmarkStart w:id="235" w:name="_Toc292559868"/>
      <w:r/>
      <w:bookmarkStart w:id="236" w:name="_Toc297048344"/>
      <w:r/>
      <w:bookmarkStart w:id="237" w:name="_Toc296890986"/>
      <w:r/>
      <w:bookmarkStart w:id="238" w:name="_Toc297120458"/>
      <w:r/>
      <w:bookmarkStart w:id="239" w:name="_Toc296346659"/>
      <w:r/>
      <w:bookmarkStart w:id="240" w:name="_Toc296944497"/>
      <w:r/>
      <w:bookmarkStart w:id="241" w:name="_Toc296891198"/>
      <w:r/>
      <w:bookmarkStart w:id="242" w:name="_Toc296347157"/>
      <w:r/>
      <w:bookmarkStart w:id="243" w:name="_Toc296503158"/>
      <w:r>
        <w:rPr>
          <w:rFonts w:hint="eastAsia" w:ascii="宋体" w:hAnsi="宋体" w:eastAsia="宋体" w:cs="宋体"/>
          <w:color w:val="000000"/>
          <w:sz w:val="21"/>
          <w:szCs w:val="21"/>
          <w:highlight w:val="none"/>
        </w:rPr>
        <w:t xml:space="preserve">. 承包人</w:t>
      </w:r>
      <w:bookmarkEnd w:id="232"/>
      <w:r/>
      <w:bookmarkEnd w:id="234"/>
      <w:r/>
      <w:bookmarkEnd w:id="235"/>
      <w:r/>
      <w:bookmarkEnd w:id="236"/>
      <w:r/>
      <w:bookmarkEnd w:id="237"/>
      <w:r/>
      <w:bookmarkEnd w:id="238"/>
      <w:r/>
      <w:bookmarkEnd w:id="239"/>
      <w:r/>
      <w:bookmarkEnd w:id="240"/>
      <w:r/>
      <w:bookmarkEnd w:id="241"/>
      <w:r/>
      <w:bookmarkEnd w:id="242"/>
      <w:r/>
      <w:bookmarkEnd w:id="243"/>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承包人的一般义务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⑴需由设计资质等级和业务范围允许的承包人完成的设计文件提交时间：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含工程变更及签证预算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、乙购材料清单、材料进场计划、劳动力及用款计划等资料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总进度计划要以横道图和网络图两种形式提供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⑶承担施工安全保卫工作及非夜间施工照明的责任和要求：</w:t>
      </w:r>
      <w:r>
        <w:rPr>
          <w:rFonts w:hint="eastAsia" w:ascii="宋体" w:hAnsi="宋体" w:eastAsia="宋体" w:cs="宋体"/>
          <w:color w:val="000000"/>
          <w:sz w:val="21"/>
          <w:szCs w:val="21"/>
          <w:highlight w:val="none"/>
          <w:u w:val="single"/>
        </w:rPr>
        <w:t xml:space="preserve">安全保卫工作由承包人负责实施，费用自理；非夜间照明由承包人负责，费用自理</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z w:val="21"/>
          <w:szCs w:val="21"/>
          <w:highlight w:val="none"/>
        </w:rPr>
        <w:t xml:space="preserve">⑷向发包人提供的办公和生活房屋及设施的要求：</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根据现场情况定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⑸需承包人办理的有关施工场地交通、环卫和施工噪音管理等手续：</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⑹已完工程成品保护的特殊要求及费用承担：</w:t>
      </w:r>
      <w:r>
        <w:rPr>
          <w:rFonts w:hint="eastAsia" w:ascii="宋体" w:hAnsi="宋体" w:eastAsia="宋体" w:cs="宋体"/>
          <w:color w:val="000000"/>
          <w:sz w:val="21"/>
          <w:szCs w:val="21"/>
          <w:highlight w:val="none"/>
          <w:u w:val="single"/>
        </w:rPr>
        <w:t xml:space="preserve">承包人必须保证安全文明施工，对已完成工程进行成品保护，因承包方原因造成破坏的，承包方必须无条件及时修复，并承担由此发生的全部费用和责任</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⑺施工场地周围地下管线和邻近建筑物、构筑物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含文物保护建筑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、古树名木的保护要求及费用承担：</w:t>
      </w:r>
      <w:r>
        <w:rPr>
          <w:rFonts w:hint="eastAsia" w:ascii="宋体" w:hAnsi="宋体" w:eastAsia="宋体" w:cs="宋体"/>
          <w:color w:val="000000"/>
          <w:sz w:val="21"/>
          <w:szCs w:val="21"/>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⑻施工场地清洁卫生的要求：</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⑼双方约定承包人应做的其他工作：</w:t>
      </w:r>
      <w:r>
        <w:rPr>
          <w:rFonts w:hint="eastAsia" w:ascii="宋体" w:hAnsi="宋体" w:eastAsia="宋体" w:cs="宋体"/>
          <w:color w:val="000000"/>
          <w:sz w:val="21"/>
          <w:szCs w:val="21"/>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sz w:val="21"/>
          <w:szCs w:val="21"/>
          <w:highlight w:val="none"/>
        </w:rPr>
        <w:t xml:space="preserve">。 </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发包人每发现一次项目经理擅自离开施工现场的，承包人</w:t>
      </w:r>
      <w:r>
        <w:rPr>
          <w:rFonts w:hint="eastAsia" w:ascii="宋体" w:hAnsi="宋体" w:eastAsia="宋体" w:cs="宋体"/>
          <w:b/>
          <w:color w:val="000000"/>
          <w:sz w:val="21"/>
          <w:szCs w:val="21"/>
          <w:highlight w:val="none"/>
          <w:u w:val="single"/>
        </w:rPr>
        <w:t xml:space="preserve">向发包人支付违约金</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rPr>
        <w:t xml:space="preserve">000元，</w:t>
      </w:r>
      <w:r>
        <w:rPr>
          <w:rFonts w:hint="eastAsia" w:ascii="宋体" w:hAnsi="宋体" w:eastAsia="宋体" w:cs="宋体"/>
          <w:color w:val="000000"/>
          <w:sz w:val="21"/>
          <w:szCs w:val="21"/>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承包人擅自更换项目经理的违约责任：</w:t>
      </w:r>
      <w:r>
        <w:rPr>
          <w:rFonts w:hint="eastAsia" w:ascii="宋体" w:hAnsi="宋体" w:eastAsia="宋体" w:cs="宋体"/>
          <w:color w:val="000000"/>
          <w:sz w:val="21"/>
          <w:szCs w:val="2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3.2.3承包人无正当理由拒绝更换项目经理的违约责任：</w:t>
      </w:r>
      <w:r>
        <w:rPr>
          <w:rFonts w:hint="eastAsia" w:ascii="宋体" w:hAnsi="宋体" w:eastAsia="宋体" w:cs="宋体"/>
          <w:color w:val="000000"/>
          <w:sz w:val="21"/>
          <w:szCs w:val="21"/>
          <w:highlight w:val="none"/>
          <w:u w:val="single"/>
        </w:rPr>
        <w:t xml:space="preserve">扣除承包人的全部质保金并解除施工合同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 接到开工令3天内</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3.3.2 承包人无正当理由拒绝撤换主要施工管理人员的违约责任：</w:t>
      </w:r>
      <w:r>
        <w:rPr>
          <w:rFonts w:hint="eastAsia" w:ascii="宋体" w:hAnsi="宋体" w:eastAsia="宋体" w:cs="宋体"/>
          <w:color w:val="000000"/>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color w:val="000000"/>
          <w:sz w:val="21"/>
          <w:szCs w:val="21"/>
          <w:highlight w:val="none"/>
          <w:u w:val="single"/>
          <w:lang w:val="en-US" w:eastAsia="zh-CN"/>
        </w:rPr>
        <w:t xml:space="preserve">500</w:t>
      </w:r>
      <w:r>
        <w:rPr>
          <w:rFonts w:hint="eastAsia" w:ascii="宋体" w:hAnsi="宋体" w:eastAsia="宋体" w:cs="宋体"/>
          <w:color w:val="000000"/>
          <w:sz w:val="21"/>
          <w:szCs w:val="21"/>
          <w:highlight w:val="none"/>
          <w:u w:val="single"/>
        </w:rPr>
        <w:t xml:space="preserve">元/人。</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承包人主要施工管理人员离开施工现场的批准要求：</w:t>
      </w:r>
      <w:r>
        <w:rPr>
          <w:rFonts w:hint="eastAsia" w:ascii="宋体" w:hAnsi="宋体" w:eastAsia="宋体" w:cs="宋体"/>
          <w:color w:val="000000"/>
          <w:sz w:val="21"/>
          <w:szCs w:val="21"/>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color w:val="000000"/>
          <w:sz w:val="21"/>
          <w:szCs w:val="21"/>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44" w:name="_Toc292559364"/>
      <w:r/>
      <w:bookmarkStart w:id="245" w:name="_Toc296503159"/>
      <w:r/>
      <w:bookmarkStart w:id="246" w:name="_Toc296347158"/>
      <w:r/>
      <w:bookmarkStart w:id="247" w:name="_Toc312677988"/>
      <w:r/>
      <w:bookmarkStart w:id="248" w:name="_Toc304295523"/>
      <w:r/>
      <w:bookmarkStart w:id="249" w:name="_Toc297048345"/>
      <w:r/>
      <w:bookmarkStart w:id="250" w:name="_Toc303539102"/>
      <w:r/>
      <w:bookmarkStart w:id="251" w:name="_Toc296346660"/>
      <w:r/>
      <w:bookmarkStart w:id="252" w:name="_Toc297123492"/>
      <w:r/>
      <w:bookmarkStart w:id="253" w:name="_Toc296890987"/>
      <w:r/>
      <w:bookmarkStart w:id="254" w:name="_Toc296944498"/>
      <w:r/>
      <w:bookmarkStart w:id="255" w:name="_Toc297120459"/>
      <w:r/>
      <w:bookmarkStart w:id="256" w:name="_Toc292559869"/>
      <w:r/>
      <w:bookmarkStart w:id="257" w:name="_Toc296891199"/>
      <w:r/>
      <w:bookmarkStart w:id="258" w:name="_Toc297216151"/>
      <w:r/>
      <w:bookmarkStart w:id="259" w:name="_Toc300934945"/>
      <w:r>
        <w:rPr>
          <w:rFonts w:hint="eastAsia" w:ascii="宋体" w:hAnsi="宋体" w:eastAsia="宋体" w:cs="宋体"/>
          <w:color w:val="000000"/>
          <w:sz w:val="21"/>
          <w:szCs w:val="21"/>
          <w:highlight w:val="none"/>
        </w:rPr>
        <w:t xml:space="preserve">.4 分包</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60" w:name="_Toc296346661"/>
      <w:r/>
      <w:bookmarkStart w:id="261" w:name="_Toc292559365"/>
      <w:r/>
      <w:bookmarkStart w:id="262" w:name="_Toc297120460"/>
      <w:r/>
      <w:bookmarkStart w:id="263" w:name="_Toc303539103"/>
      <w:r/>
      <w:bookmarkStart w:id="264" w:name="_Toc297123493"/>
      <w:r/>
      <w:bookmarkStart w:id="265" w:name="_Toc296944499"/>
      <w:r/>
      <w:bookmarkStart w:id="266" w:name="_Toc296890988"/>
      <w:r/>
      <w:bookmarkStart w:id="267" w:name="_Toc304295524"/>
      <w:r/>
      <w:bookmarkStart w:id="268" w:name="_Toc296347159"/>
      <w:r/>
      <w:bookmarkStart w:id="269" w:name="_Toc300934946"/>
      <w:r/>
      <w:bookmarkStart w:id="270" w:name="_Toc297048346"/>
      <w:r/>
      <w:bookmarkStart w:id="271" w:name="_Toc296503160"/>
      <w:r/>
      <w:bookmarkStart w:id="272" w:name="_Toc296891200"/>
      <w:r/>
      <w:bookmarkStart w:id="273" w:name="_Toc297216152"/>
      <w:r/>
      <w:bookmarkStart w:id="274" w:name="_Toc292559870"/>
      <w:r/>
      <w:bookmarkStart w:id="275" w:name="_Toc318581158"/>
      <w:r/>
      <w:bookmarkStart w:id="276" w:name="_Toc312677989"/>
      <w:r>
        <w:rPr>
          <w:rFonts w:hint="eastAsia" w:ascii="宋体" w:hAnsi="宋体" w:eastAsia="宋体" w:cs="宋体"/>
          <w:color w:val="000000"/>
          <w:sz w:val="21"/>
          <w:szCs w:val="21"/>
          <w:highlight w:val="none"/>
        </w:rPr>
        <w:t xml:space="preserve">.4.1 分包的一般约定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000000"/>
          <w:sz w:val="21"/>
          <w:szCs w:val="21"/>
          <w:highlight w:val="none"/>
          <w:u w:val="single"/>
          <w:lang w:eastAsia="zh-CN"/>
        </w:rPr>
        <w:t xml:space="preserve">终</w:t>
      </w:r>
      <w:r>
        <w:rPr>
          <w:rFonts w:hint="eastAsia" w:ascii="宋体" w:hAnsi="宋体" w:eastAsia="宋体" w:cs="宋体"/>
          <w:color w:val="000000"/>
          <w:sz w:val="21"/>
          <w:szCs w:val="21"/>
          <w:highlight w:val="none"/>
          <w:u w:val="single"/>
        </w:rPr>
        <w:t xml:space="preserve">止合同，承包方并负违约责任。</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77" w:name="_Toc296891201"/>
      <w:r/>
      <w:bookmarkStart w:id="278" w:name="_Toc303539104"/>
      <w:r/>
      <w:bookmarkStart w:id="279" w:name="_Toc304295525"/>
      <w:r/>
      <w:bookmarkStart w:id="280" w:name="_Toc297120461"/>
      <w:r/>
      <w:bookmarkStart w:id="281" w:name="_Toc296346662"/>
      <w:r/>
      <w:bookmarkStart w:id="282" w:name="_Toc296944500"/>
      <w:r/>
      <w:bookmarkStart w:id="283" w:name="_Toc300934947"/>
      <w:r/>
      <w:bookmarkStart w:id="284" w:name="_Toc296347160"/>
      <w:r/>
      <w:bookmarkStart w:id="285" w:name="_Toc297216153"/>
      <w:r/>
      <w:bookmarkStart w:id="286" w:name="_Toc296890989"/>
      <w:r/>
      <w:bookmarkStart w:id="287" w:name="_Toc297048347"/>
      <w:r/>
      <w:bookmarkStart w:id="288" w:name="_Toc296503161"/>
      <w:r/>
      <w:bookmarkStart w:id="289" w:name="_Toc29712349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90" w:name="_Toc312677990"/>
      <w:r/>
      <w:bookmarkStart w:id="291" w:name="_Toc318581159"/>
      <w:r>
        <w:rPr>
          <w:rFonts w:hint="eastAsia" w:ascii="宋体" w:hAnsi="宋体" w:eastAsia="宋体" w:cs="宋体"/>
          <w:color w:val="000000"/>
          <w:sz w:val="21"/>
          <w:szCs w:val="21"/>
          <w:highlight w:val="none"/>
        </w:rPr>
        <w:t xml:space="preserve">.4.2分包的确定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招标人有权决定分包内容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 分包合同价款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90"/>
      <w:r/>
      <w:bookmarkEnd w:id="291"/>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履约担保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   /   。</w:t>
      </w:r>
      <w:r/>
    </w:p>
    <w:p>
      <w:pPr>
        <w:ind w:firstLine="422"/>
        <w:pageBreakBefore w:val="0"/>
        <w:spacing w:after="120"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bookmarkStart w:id="292" w:name="_Toc296891202"/>
      <w:r/>
      <w:bookmarkStart w:id="293" w:name="_Toc292559366"/>
      <w:r/>
      <w:bookmarkStart w:id="294" w:name="_Toc296347161"/>
      <w:r/>
      <w:bookmarkStart w:id="295" w:name="_Toc297120462"/>
      <w:r/>
      <w:bookmarkStart w:id="296" w:name="_Toc292559871"/>
      <w:r/>
      <w:bookmarkStart w:id="297" w:name="_Toc297048348"/>
      <w:r/>
      <w:bookmarkStart w:id="298" w:name="_Toc267251413"/>
      <w:r/>
      <w:bookmarkStart w:id="299" w:name="_Toc296503162"/>
      <w:r/>
      <w:bookmarkStart w:id="300" w:name="_Toc296944501"/>
      <w:r/>
      <w:bookmarkStart w:id="301" w:name="_Toc296346663"/>
      <w:r/>
      <w:bookmarkStart w:id="302" w:name="_Toc296890990"/>
      <w:r>
        <w:rPr>
          <w:rFonts w:hint="eastAsia" w:ascii="宋体" w:hAnsi="宋体" w:eastAsia="宋体" w:cs="宋体"/>
          <w:b/>
          <w:bCs/>
          <w:color w:val="auto"/>
          <w:sz w:val="21"/>
          <w:szCs w:val="21"/>
          <w:highlight w:val="none"/>
        </w:rPr>
        <w:t xml:space="preserve">. 监</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b/>
          <w:bCs/>
          <w:color w:val="auto"/>
          <w:sz w:val="21"/>
          <w:szCs w:val="21"/>
          <w:highlight w:val="none"/>
        </w:rPr>
        <w:t xml:space="preserve">理人</w:t>
      </w:r>
      <w:bookmarkEnd w:id="233"/>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施工及保修阶段的“三控”“三管”及“组织协调”全部内容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停工、复工令、重大协调事项及有关设计变更的确认，工程价款的调整报告、工程款支付、施工进度的提前或顺延。</w:t>
      </w:r>
      <w:r>
        <w:rPr>
          <w:rFonts w:hint="eastAsia" w:ascii="宋体" w:hAnsi="宋体" w:eastAsia="宋体" w:cs="宋体"/>
          <w:color w:val="auto"/>
          <w:sz w:val="21"/>
          <w:szCs w:val="21"/>
          <w:highlight w:val="none"/>
        </w:rPr>
        <w:t xml:space="preserve">  </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提供办公场所、办公桌椅，其余自理。  </w:t>
      </w:r>
      <w:bookmarkStart w:id="303" w:name="_Toc267251418"/>
      <w:r/>
      <w:bookmarkStart w:id="304" w:name="_Toc351203637"/>
      <w:r/>
      <w:r/>
    </w:p>
    <w:p>
      <w:pPr>
        <w:ind w:firstLine="422"/>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bookmarkEnd w:id="303"/>
      <w:r/>
      <w:bookmarkStart w:id="305" w:name="_Toc297120463"/>
      <w:r/>
      <w:bookmarkStart w:id="306" w:name="_Toc296890991"/>
      <w:r/>
      <w:bookmarkStart w:id="307" w:name="_Toc296944502"/>
      <w:r/>
      <w:bookmarkStart w:id="308" w:name="_Toc296891203"/>
      <w:r/>
      <w:bookmarkStart w:id="309" w:name="_Toc296503163"/>
      <w:r/>
      <w:bookmarkStart w:id="310" w:name="_Toc296346664"/>
      <w:r/>
      <w:bookmarkStart w:id="311" w:name="_Toc297048349"/>
      <w:r/>
      <w:bookmarkStart w:id="312" w:name="_Toc292559367"/>
      <w:r/>
      <w:bookmarkStart w:id="313" w:name="_Toc292559872"/>
      <w:r/>
      <w:bookmarkStart w:id="314" w:name="_Toc296347162"/>
      <w:r>
        <w:rPr>
          <w:rFonts w:hint="eastAsia" w:ascii="宋体" w:hAnsi="宋体" w:eastAsia="宋体" w:cs="宋体"/>
          <w:b/>
          <w:color w:val="auto"/>
          <w:sz w:val="21"/>
          <w:szCs w:val="21"/>
          <w:highlight w:val="none"/>
        </w:rPr>
        <w:t xml:space="preserve">. 工程质量</w:t>
      </w:r>
      <w:bookmarkEnd w:id="304"/>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w:t>
      </w:r>
      <w:bookmarkStart w:id="315" w:name="_Toc300934949"/>
      <w:r/>
      <w:bookmarkStart w:id="316" w:name="_Toc303539106"/>
      <w:r/>
      <w:bookmarkStart w:id="317" w:name="_Toc312677997"/>
      <w:r/>
      <w:bookmarkStart w:id="318" w:name="_Toc297123496"/>
      <w:r/>
      <w:bookmarkStart w:id="319" w:name="_Toc318581164"/>
      <w:r/>
      <w:bookmarkStart w:id="320" w:name="_Toc297216155"/>
      <w:r/>
      <w:bookmarkStart w:id="321" w:name="_Toc30429552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承包人在检查前12小时以书面形式通知监理人。通知中应载明包括隐蔽检查的内容、时间和地点，并附有自检记录和必要的检查资料。</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322" w:name="_Toc351203638"/>
      <w:r>
        <w:rPr>
          <w:rFonts w:hint="eastAsia" w:ascii="宋体" w:hAnsi="宋体" w:eastAsia="宋体" w:cs="宋体"/>
          <w:b w:val="0"/>
          <w:color w:val="auto"/>
          <w:sz w:val="21"/>
          <w:szCs w:val="21"/>
          <w:highlight w:val="none"/>
        </w:rPr>
        <w:t xml:space="preserve">6. 安全文明施工与环境保护</w:t>
      </w:r>
      <w:bookmarkEnd w:id="322"/>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工程竣工结算时一次性支付</w:t>
      </w:r>
      <w:r>
        <w:rPr>
          <w:rFonts w:hint="eastAsia" w:ascii="宋体" w:hAnsi="宋体" w:eastAsia="宋体" w:cs="宋体"/>
          <w:color w:val="auto"/>
          <w:sz w:val="21"/>
          <w:szCs w:val="21"/>
          <w:highlight w:val="none"/>
        </w:rPr>
        <w:t xml:space="preserve">。</w:t>
      </w:r>
      <w:bookmarkEnd w:id="315"/>
      <w:r/>
      <w:bookmarkEnd w:id="316"/>
      <w:r/>
      <w:bookmarkEnd w:id="317"/>
      <w:r/>
      <w:bookmarkEnd w:id="318"/>
      <w:r/>
      <w:bookmarkEnd w:id="319"/>
      <w:r/>
      <w:bookmarkEnd w:id="320"/>
      <w:r/>
      <w:bookmarkEnd w:id="321"/>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323" w:name="_Toc351203639"/>
      <w:r>
        <w:rPr>
          <w:rFonts w:hint="eastAsia" w:ascii="宋体" w:hAnsi="宋体" w:eastAsia="宋体" w:cs="宋体"/>
          <w:b w:val="0"/>
          <w:color w:val="auto"/>
          <w:sz w:val="21"/>
          <w:szCs w:val="21"/>
          <w:highlight w:val="none"/>
        </w:rPr>
        <w:t xml:space="preserve">7. 工期和进度</w:t>
      </w:r>
      <w:bookmarkEnd w:id="323"/>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施工组织总体设想、方案针对性及施工段划分； </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充分考虑现场施工场地条件，做出合理的现场平面布置；</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施工进度计划和各阶段进度的保证措施； </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分部分项工程的完整施工方案及质量保证措施； </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安全文明施工及环境保护措施； </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项目管理班子的人员配备、成本控制措施； </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劳动力、机械设备和材料投入计划；</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关键施工技术、工艺及工程项目实施的重点、难点和解决方案；</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外部矛盾协调措施； </w:t>
      </w:r>
      <w:r/>
    </w:p>
    <w:p>
      <w:pPr>
        <w:ind w:firstLine="315"/>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冬季、雨季施工，已有设施、管线的加固、成品保护等特殊情况下的施工措施。</w:t>
      </w:r>
      <w:r/>
    </w:p>
    <w:p>
      <w:pPr>
        <w:jc w:val="left"/>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投标人应保证一旦中标，在施工组织设计中列明的人员应确保参加工程的实施，列明的机具应保证工程随时调用，否则承担违约责任。</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合同签订后，开工前7天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收到后7天内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24" w:name="_Toc312677479"/>
      <w:r/>
      <w:bookmarkStart w:id="325" w:name="_Toc300934966"/>
      <w:r/>
      <w:bookmarkStart w:id="326" w:name="_Toc304295541"/>
      <w:r/>
      <w:bookmarkStart w:id="327" w:name="_Toc297216173"/>
      <w:r/>
      <w:bookmarkStart w:id="328" w:name="_Toc312678005"/>
      <w:r/>
      <w:bookmarkStart w:id="329" w:name="_Toc303539123"/>
      <w:r/>
      <w:bookmarkStart w:id="330" w:name="_Toc297123514"/>
      <w:r>
        <w:rPr>
          <w:rFonts w:hint="eastAsia" w:ascii="宋体" w:hAnsi="宋体" w:eastAsia="宋体" w:cs="宋体"/>
          <w:color w:val="auto"/>
          <w:sz w:val="21"/>
          <w:szCs w:val="21"/>
          <w:highlight w:val="none"/>
        </w:rPr>
        <w:t xml:space="preserve">.2 施工进度计划</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收到后7天内完成审核和批准或提出修改意见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   合同签订后7日内   </w:t>
      </w:r>
      <w:r>
        <w:rPr>
          <w:rFonts w:hint="eastAsia" w:ascii="宋体" w:hAnsi="宋体" w:eastAsia="宋体" w:cs="宋体"/>
          <w:color w:val="auto"/>
          <w:sz w:val="21"/>
          <w:szCs w:val="21"/>
          <w:highlight w:val="none"/>
        </w:rPr>
        <w:t xml:space="preserve">。</w:t>
      </w:r>
      <w:r/>
    </w:p>
    <w:p>
      <w:pPr>
        <w:ind w:firstLine="64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324"/>
      <w:r/>
      <w:bookmarkEnd w:id="325"/>
      <w:r/>
      <w:bookmarkEnd w:id="326"/>
      <w:r/>
      <w:bookmarkEnd w:id="327"/>
      <w:r/>
      <w:bookmarkEnd w:id="328"/>
      <w:r/>
      <w:bookmarkEnd w:id="329"/>
      <w:r/>
      <w:bookmarkEnd w:id="330"/>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开工日期前7天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1" w:name="_Toc297216175"/>
      <w:r/>
      <w:bookmarkStart w:id="332" w:name="_Toc300934968"/>
      <w:r/>
      <w:bookmarkStart w:id="333" w:name="_Toc312677484"/>
      <w:r/>
      <w:bookmarkStart w:id="334" w:name="_Toc304295546"/>
      <w:r/>
      <w:bookmarkStart w:id="335" w:name="_Toc303539125"/>
      <w:r/>
      <w:bookmarkStart w:id="336" w:name="_Toc297123516"/>
      <w:r/>
      <w:bookmarkStart w:id="337" w:name="_Toc312678010"/>
      <w:r>
        <w:rPr>
          <w:rFonts w:hint="eastAsia" w:ascii="宋体" w:hAnsi="宋体" w:eastAsia="宋体" w:cs="宋体"/>
          <w:color w:val="auto"/>
          <w:sz w:val="21"/>
          <w:szCs w:val="21"/>
          <w:highlight w:val="none"/>
        </w:rPr>
        <w:t xml:space="preserve">.5 工期延误</w:t>
      </w:r>
      <w:bookmarkEnd w:id="331"/>
      <w:r/>
      <w:bookmarkEnd w:id="332"/>
      <w:r/>
      <w:bookmarkEnd w:id="333"/>
      <w:r/>
      <w:bookmarkEnd w:id="334"/>
      <w:r/>
      <w:bookmarkEnd w:id="335"/>
      <w:r/>
      <w:bookmarkEnd w:id="336"/>
      <w:r/>
      <w:bookmarkEnd w:id="337"/>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8" w:name="_Toc318581169"/>
      <w:r/>
      <w:bookmarkStart w:id="339" w:name="_Toc312677486"/>
      <w:r/>
      <w:bookmarkStart w:id="340" w:name="_Toc312678012"/>
      <w:r/>
      <w:bookmarkStart w:id="341" w:name="_Toc297216177"/>
      <w:r/>
      <w:bookmarkStart w:id="342" w:name="_Toc297123518"/>
      <w:r/>
      <w:bookmarkStart w:id="343" w:name="_Toc300934970"/>
      <w:r/>
      <w:bookmarkStart w:id="344" w:name="_Toc304295548"/>
      <w:r/>
      <w:bookmarkStart w:id="345" w:name="_Toc303539127"/>
      <w:r>
        <w:rPr>
          <w:rFonts w:hint="eastAsia" w:ascii="宋体" w:hAnsi="宋体" w:eastAsia="宋体" w:cs="宋体"/>
          <w:color w:val="auto"/>
          <w:sz w:val="21"/>
          <w:szCs w:val="21"/>
          <w:highlight w:val="none"/>
        </w:rPr>
        <w:t xml:space="preserve">.5.2 因承包人原因导致工期延误</w:t>
      </w:r>
      <w:bookmarkEnd w:id="338"/>
      <w:r/>
      <w:bookmarkEnd w:id="339"/>
      <w:r/>
      <w:bookmarkEnd w:id="340"/>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346" w:name="_Toc312677487"/>
      <w:r/>
      <w:bookmarkStart w:id="347" w:name="_Toc312678013"/>
      <w:r/>
      <w:bookmarkStart w:id="34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每延误一天，承包人赔偿给发包人合同价的千分之五违约金，误期赔偿费列入竣工结算文件中，在结算款中扣除  </w:t>
      </w:r>
      <w:r>
        <w:rPr>
          <w:rFonts w:hint="eastAsia" w:ascii="宋体" w:hAnsi="宋体" w:eastAsia="宋体" w:cs="宋体"/>
          <w:color w:val="auto"/>
          <w:sz w:val="21"/>
          <w:szCs w:val="21"/>
          <w:highlight w:val="none"/>
        </w:rPr>
        <w:t xml:space="preserve">。</w:t>
      </w:r>
      <w:bookmarkEnd w:id="341"/>
      <w:r/>
      <w:bookmarkEnd w:id="342"/>
      <w:r/>
      <w:bookmarkEnd w:id="343"/>
      <w:r/>
      <w:bookmarkEnd w:id="344"/>
      <w:r/>
      <w:bookmarkEnd w:id="345"/>
      <w:r/>
      <w:bookmarkEnd w:id="346"/>
      <w:r/>
      <w:bookmarkEnd w:id="347"/>
      <w:r/>
      <w:bookmarkEnd w:id="348"/>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w:t>
      </w:r>
      <w:bookmarkStart w:id="349" w:name="_Toc318581171"/>
      <w:r/>
      <w:bookmarkStart w:id="350"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签约合同价的3％  </w:t>
      </w:r>
      <w:r>
        <w:rPr>
          <w:rFonts w:hint="eastAsia" w:ascii="宋体" w:hAnsi="宋体" w:eastAsia="宋体" w:cs="宋体"/>
          <w:color w:val="auto"/>
          <w:sz w:val="21"/>
          <w:szCs w:val="21"/>
          <w:highlight w:val="none"/>
        </w:rPr>
        <w:t xml:space="preserve">。</w:t>
      </w:r>
      <w:bookmarkEnd w:id="349"/>
      <w:r/>
      <w:bookmarkEnd w:id="350"/>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51" w:name="_Toc297216178"/>
      <w:r/>
      <w:bookmarkStart w:id="352" w:name="_Toc312678015"/>
      <w:r/>
      <w:bookmarkStart w:id="353" w:name="_Toc304295549"/>
      <w:r/>
      <w:bookmarkStart w:id="354" w:name="_Toc303539128"/>
      <w:r/>
      <w:bookmarkStart w:id="355" w:name="_Toc300934971"/>
      <w:r/>
      <w:bookmarkStart w:id="356" w:name="_Toc297123519"/>
      <w:r>
        <w:rPr>
          <w:rFonts w:hint="eastAsia" w:ascii="宋体" w:hAnsi="宋体" w:eastAsia="宋体" w:cs="宋体"/>
          <w:color w:val="auto"/>
          <w:sz w:val="21"/>
          <w:szCs w:val="21"/>
          <w:highlight w:val="none"/>
        </w:rPr>
        <w:t xml:space="preserve">.6 不</w:t>
      </w:r>
      <w:bookmarkEnd w:id="351"/>
      <w:r/>
      <w:bookmarkEnd w:id="352"/>
      <w:r/>
      <w:bookmarkEnd w:id="353"/>
      <w:r/>
      <w:bookmarkEnd w:id="354"/>
      <w:r/>
      <w:bookmarkEnd w:id="355"/>
      <w:r/>
      <w:bookmarkEnd w:id="356"/>
      <w:r>
        <w:rPr>
          <w:rFonts w:hint="eastAsia" w:ascii="宋体" w:hAnsi="宋体" w:eastAsia="宋体" w:cs="宋体"/>
          <w:color w:val="auto"/>
          <w:sz w:val="21"/>
          <w:szCs w:val="21"/>
          <w:highlight w:val="none"/>
        </w:rPr>
        <w:t xml:space="preserve">利物质条件</w:t>
      </w:r>
      <w:r/>
    </w:p>
    <w:p>
      <w:pPr>
        <w:ind w:firstLine="420"/>
        <w:jc w:val="left"/>
        <w:pageBreakBefore w:val="0"/>
        <w:spacing w:line="440" w:lineRule="exact"/>
        <w:rPr>
          <w:rFonts w:hint="eastAsia" w:ascii="宋体" w:hAnsi="宋体" w:eastAsia="宋体" w:cs="宋体"/>
          <w:color w:val="auto"/>
          <w:sz w:val="21"/>
          <w:szCs w:val="21"/>
          <w:highlight w:val="none"/>
        </w:rPr>
      </w:pPr>
      <w:r/>
      <w:bookmarkStart w:id="357" w:name="_Toc300934972"/>
      <w:r/>
      <w:bookmarkStart w:id="358" w:name="_Toc303539129"/>
      <w:r/>
      <w:bookmarkStart w:id="359" w:name="_Toc318581172"/>
      <w:r/>
      <w:bookmarkStart w:id="360" w:name="_Toc304295550"/>
      <w:r/>
      <w:bookmarkStart w:id="361" w:name="_Toc297216179"/>
      <w:r/>
      <w:bookmarkStart w:id="362" w:name="_Toc312678016"/>
      <w:r/>
      <w:bookmarkStart w:id="363" w:name="_Toc29712352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1"/>
          <w:szCs w:val="21"/>
          <w:highlight w:val="none"/>
        </w:rPr>
        <w:t xml:space="preserve">。</w:t>
      </w:r>
      <w:bookmarkEnd w:id="357"/>
      <w:r/>
      <w:bookmarkEnd w:id="358"/>
      <w:r/>
      <w:bookmarkEnd w:id="359"/>
      <w:r/>
      <w:bookmarkEnd w:id="360"/>
      <w:r/>
      <w:bookmarkEnd w:id="361"/>
      <w:r/>
      <w:bookmarkEnd w:id="362"/>
      <w:r/>
      <w:bookmarkEnd w:id="363"/>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64" w:name="_Toc300934973"/>
      <w:r/>
      <w:bookmarkStart w:id="365" w:name="_Toc312678017"/>
      <w:r/>
      <w:bookmarkStart w:id="366" w:name="_Toc304295551"/>
      <w:r/>
      <w:bookmarkStart w:id="367" w:name="_Toc297123521"/>
      <w:r/>
      <w:bookmarkStart w:id="368" w:name="_Toc303539130"/>
      <w:r/>
      <w:bookmarkStart w:id="369" w:name="_Toc297216180"/>
      <w:r>
        <w:rPr>
          <w:rFonts w:hint="eastAsia" w:ascii="宋体" w:hAnsi="宋体" w:eastAsia="宋体" w:cs="宋体"/>
          <w:color w:val="auto"/>
          <w:sz w:val="21"/>
          <w:szCs w:val="21"/>
          <w:highlight w:val="none"/>
        </w:rPr>
        <w:t xml:space="preserve">.7异常恶劣的气候条件</w:t>
      </w:r>
      <w:bookmarkEnd w:id="364"/>
      <w:r/>
      <w:bookmarkEnd w:id="365"/>
      <w:r/>
      <w:bookmarkEnd w:id="366"/>
      <w:r/>
      <w:bookmarkEnd w:id="367"/>
      <w:r/>
      <w:bookmarkEnd w:id="368"/>
      <w:r/>
      <w:bookmarkEnd w:id="369"/>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(1）日降雨量大于50mm的雨日超过1天；</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(2）6级以上台风灾害；</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(3）日气温超过38℃的高温大于3天；</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(4）日气温低于-20℃ 的严寒大于3天；</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(5）造成工程损坏的冰雹和大雪灾害：日降雪量10mm及以上；</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370" w:name="_Toc351203640"/>
      <w:r>
        <w:rPr>
          <w:rFonts w:hint="eastAsia" w:ascii="宋体" w:hAnsi="宋体" w:eastAsia="宋体" w:cs="宋体"/>
          <w:b w:val="0"/>
          <w:color w:val="auto"/>
          <w:sz w:val="21"/>
          <w:szCs w:val="21"/>
          <w:highlight w:val="none"/>
        </w:rPr>
        <w:t xml:space="preserve">8. 材料与设备</w:t>
      </w:r>
      <w:bookmarkEnd w:id="370"/>
      <w:r/>
      <w:bookmarkEnd w:id="305"/>
      <w:r/>
      <w:bookmarkEnd w:id="306"/>
      <w:r/>
      <w:bookmarkEnd w:id="307"/>
      <w:r/>
      <w:bookmarkEnd w:id="308"/>
      <w:r/>
      <w:bookmarkEnd w:id="309"/>
      <w:r/>
      <w:bookmarkEnd w:id="310"/>
      <w:r/>
      <w:bookmarkEnd w:id="311"/>
      <w:r/>
      <w:bookmarkEnd w:id="312"/>
      <w:r/>
      <w:bookmarkEnd w:id="313"/>
      <w:r/>
      <w:bookmarkEnd w:id="314"/>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71" w:name="_Toc312678019"/>
      <w:r/>
      <w:bookmarkStart w:id="372" w:name="_Toc296503167"/>
      <w:r/>
      <w:bookmarkStart w:id="373" w:name="_Toc297216186"/>
      <w:r/>
      <w:bookmarkStart w:id="374" w:name="_Toc296891207"/>
      <w:r/>
      <w:bookmarkStart w:id="375" w:name="_Toc280868654"/>
      <w:r/>
      <w:bookmarkStart w:id="376" w:name="_Toc296890995"/>
      <w:r/>
      <w:bookmarkStart w:id="377" w:name="_Toc312677493"/>
      <w:r/>
      <w:bookmarkStart w:id="378" w:name="_Toc292559372"/>
      <w:r/>
      <w:bookmarkStart w:id="379" w:name="_Toc297123527"/>
      <w:r/>
      <w:bookmarkStart w:id="380" w:name="_Toc296347166"/>
      <w:r/>
      <w:bookmarkStart w:id="381" w:name="_Toc303539136"/>
      <w:r/>
      <w:bookmarkStart w:id="382" w:name="_Toc300934979"/>
      <w:r/>
      <w:bookmarkStart w:id="383" w:name="_Toc297048353"/>
      <w:r/>
      <w:bookmarkStart w:id="384" w:name="_Toc296346668"/>
      <w:r/>
      <w:bookmarkStart w:id="385" w:name="_Toc292559877"/>
      <w:r/>
      <w:bookmarkStart w:id="386" w:name="_Toc296944506"/>
      <w:r/>
      <w:bookmarkStart w:id="387" w:name="_Toc297120467"/>
      <w:r/>
      <w:bookmarkStart w:id="388" w:name="_Toc304295556"/>
      <w:r/>
      <w:bookmarkStart w:id="389" w:name="_Toc280868655"/>
      <w:r/>
      <w:bookmarkStart w:id="390" w:name="_Toc280868656"/>
      <w:r/>
      <w:bookmarkStart w:id="391" w:name="_Toc267251424"/>
      <w:r>
        <w:rPr>
          <w:rFonts w:hint="eastAsia" w:ascii="宋体" w:hAnsi="宋体" w:eastAsia="宋体" w:cs="宋体"/>
          <w:color w:val="auto"/>
          <w:sz w:val="21"/>
          <w:szCs w:val="21"/>
          <w:highlight w:val="none"/>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92" w:name="_Toc292559373"/>
      <w:r/>
      <w:bookmarkStart w:id="393" w:name="_Toc292559878"/>
      <w:r/>
      <w:bookmarkStart w:id="394" w:name="_Toc303539137"/>
      <w:r/>
      <w:bookmarkStart w:id="395" w:name="_Toc296346669"/>
      <w:r/>
      <w:bookmarkStart w:id="396" w:name="_Toc297123528"/>
      <w:r/>
      <w:bookmarkStart w:id="397" w:name="_Toc300934980"/>
      <w:r/>
      <w:bookmarkStart w:id="398" w:name="_Toc318581173"/>
      <w:r/>
      <w:bookmarkStart w:id="399" w:name="_Toc312678020"/>
      <w:r/>
      <w:bookmarkStart w:id="400" w:name="_Toc296890996"/>
      <w:r/>
      <w:bookmarkStart w:id="401" w:name="_Toc296891208"/>
      <w:r/>
      <w:bookmarkStart w:id="402" w:name="_Toc296503168"/>
      <w:r/>
      <w:bookmarkStart w:id="403" w:name="_Toc297048354"/>
      <w:r/>
      <w:bookmarkStart w:id="404" w:name="_Toc297120468"/>
      <w:r/>
      <w:bookmarkStart w:id="405" w:name="_Toc296347167"/>
      <w:r/>
      <w:bookmarkStart w:id="406" w:name="_Toc297216187"/>
      <w:r/>
      <w:bookmarkStart w:id="407" w:name="_Toc296944507"/>
      <w:r/>
      <w:bookmarkStart w:id="408" w:name="_Toc304295557"/>
      <w:r/>
      <w:bookmarkStart w:id="409" w:name="_Toc312677494"/>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1"/>
          <w:szCs w:val="21"/>
          <w:highlight w:val="none"/>
        </w:rPr>
        <w:t xml:space="preserve">。</w:t>
      </w:r>
      <w:bookmarkEnd w:id="392"/>
      <w:r/>
      <w:bookmarkEnd w:id="393"/>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                                           按发包人需求确定，费用包含在签约合同价中</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由承包人承担，承包人负责施工临时设施、环保及环卫的相关手续，由承包人办理报批手续，并承担与之相关费用。</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351203641"/>
      <w:r/>
      <w:r/>
    </w:p>
    <w:p>
      <w:pPr>
        <w:ind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bookmarkEnd w:id="389"/>
      <w:r/>
      <w:bookmarkEnd w:id="390"/>
      <w:r/>
      <w:bookmarkEnd w:id="391"/>
      <w:r/>
      <w:bookmarkStart w:id="411" w:name="_Toc312677495"/>
      <w:r/>
      <w:bookmarkStart w:id="412" w:name="_Toc303539139"/>
      <w:r/>
      <w:bookmarkStart w:id="413" w:name="_Toc297216192"/>
      <w:r/>
      <w:bookmarkStart w:id="414" w:name="_Toc297123533"/>
      <w:r/>
      <w:bookmarkStart w:id="415" w:name="_Toc304295559"/>
      <w:r/>
      <w:bookmarkStart w:id="416" w:name="_Toc312678021"/>
      <w:r/>
      <w:bookmarkStart w:id="417" w:name="_Toc300934982"/>
      <w:r/>
      <w:bookmarkStart w:id="418" w:name="_Toc297120473"/>
      <w:r/>
      <w:bookmarkStart w:id="419" w:name="_Toc296891213"/>
      <w:r/>
      <w:bookmarkStart w:id="420" w:name="_Toc267251428"/>
      <w:r/>
      <w:bookmarkStart w:id="421" w:name="_Toc292559378"/>
      <w:r/>
      <w:bookmarkStart w:id="422" w:name="_Toc296346674"/>
      <w:r/>
      <w:bookmarkStart w:id="423" w:name="_Toc296944512"/>
      <w:r/>
      <w:bookmarkStart w:id="424" w:name="_Toc296891001"/>
      <w:r/>
      <w:bookmarkStart w:id="425" w:name="_Toc297048359"/>
      <w:r/>
      <w:bookmarkStart w:id="426" w:name="_Toc296503173"/>
      <w:r/>
      <w:bookmarkStart w:id="427" w:name="_Toc296347172"/>
      <w:r/>
      <w:bookmarkStart w:id="428" w:name="_Toc292559883"/>
      <w:r/>
      <w:bookmarkStart w:id="429" w:name="_Toc267251427"/>
      <w:r>
        <w:rPr>
          <w:rFonts w:hint="eastAsia" w:ascii="宋体" w:hAnsi="宋体" w:eastAsia="宋体" w:cs="宋体"/>
          <w:b/>
          <w:color w:val="auto"/>
          <w:sz w:val="21"/>
          <w:szCs w:val="21"/>
          <w:highlight w:val="none"/>
        </w:rPr>
        <w:t xml:space="preserve">. 试验与检验</w:t>
      </w:r>
      <w:bookmarkEnd w:id="410"/>
      <w:r/>
      <w:bookmarkEnd w:id="411"/>
      <w:r/>
      <w:bookmarkEnd w:id="412"/>
      <w:r/>
      <w:bookmarkEnd w:id="413"/>
      <w:r/>
      <w:bookmarkEnd w:id="414"/>
      <w:r/>
      <w:bookmarkEnd w:id="415"/>
      <w:r/>
      <w:bookmarkEnd w:id="416"/>
      <w:r/>
      <w:bookmarkEnd w:id="417"/>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0" w:name="_Toc303539140"/>
      <w:r/>
      <w:bookmarkStart w:id="431" w:name="_Toc297123534"/>
      <w:r/>
      <w:bookmarkStart w:id="432" w:name="_Toc312677496"/>
      <w:r/>
      <w:bookmarkStart w:id="433" w:name="_Toc304295560"/>
      <w:r/>
      <w:bookmarkStart w:id="434" w:name="_Toc312678022"/>
      <w:r/>
      <w:bookmarkStart w:id="435" w:name="_Toc300934983"/>
      <w:r/>
      <w:bookmarkStart w:id="436" w:name="_Toc297216193"/>
      <w:r>
        <w:rPr>
          <w:rFonts w:hint="eastAsia" w:ascii="宋体" w:hAnsi="宋体" w:eastAsia="宋体" w:cs="宋体"/>
          <w:color w:val="auto"/>
          <w:sz w:val="21"/>
          <w:szCs w:val="21"/>
          <w:highlight w:val="none"/>
        </w:rPr>
        <w:t xml:space="preserve">.1试验设备与试验人员</w:t>
      </w:r>
      <w:bookmarkEnd w:id="430"/>
      <w:r/>
      <w:bookmarkEnd w:id="431"/>
      <w:r/>
      <w:bookmarkEnd w:id="432"/>
      <w:r/>
      <w:bookmarkEnd w:id="433"/>
      <w:r/>
      <w:bookmarkEnd w:id="434"/>
      <w:r/>
      <w:bookmarkEnd w:id="435"/>
      <w:r/>
      <w:bookmarkEnd w:id="436"/>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7" w:name="_Toc312678023"/>
      <w:r/>
      <w:bookmarkStart w:id="438" w:name="_Toc297123535"/>
      <w:r/>
      <w:bookmarkStart w:id="439" w:name="_Toc297216194"/>
      <w:r/>
      <w:bookmarkStart w:id="440" w:name="_Toc303539141"/>
      <w:r/>
      <w:bookmarkStart w:id="441" w:name="_Toc304295561"/>
      <w:r/>
      <w:bookmarkStart w:id="442" w:name="_Toc300934984"/>
      <w:r/>
      <w:bookmarkStart w:id="443" w:name="_Toc312677497"/>
      <w:r/>
      <w:bookmarkStart w:id="444"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437"/>
      <w:r/>
      <w:bookmarkEnd w:id="438"/>
      <w:r/>
      <w:bookmarkEnd w:id="439"/>
      <w:r/>
      <w:bookmarkEnd w:id="440"/>
      <w:r/>
      <w:bookmarkEnd w:id="441"/>
      <w:r/>
      <w:bookmarkEnd w:id="442"/>
      <w:r/>
      <w:bookmarkEnd w:id="443"/>
      <w:r/>
      <w:bookmarkStart w:id="445" w:name="_Toc303539142"/>
      <w:r/>
      <w:bookmarkStart w:id="446" w:name="_Toc297216195"/>
      <w:r/>
      <w:bookmarkStart w:id="447" w:name="_Toc297123536"/>
      <w:r/>
      <w:bookmarkStart w:id="448" w:name="_Toc312677498"/>
      <w:r/>
      <w:bookmarkStart w:id="449" w:name="_Toc300934985"/>
      <w:r/>
      <w:bookmarkStart w:id="450" w:name="_Toc312678024"/>
      <w:r/>
      <w:bookmarkStart w:id="451" w:name="_Toc304295562"/>
      <w:r>
        <w:rPr>
          <w:rFonts w:hint="eastAsia" w:ascii="宋体" w:hAnsi="宋体" w:eastAsia="宋体" w:cs="宋体"/>
          <w:color w:val="auto"/>
          <w:sz w:val="21"/>
          <w:szCs w:val="21"/>
          <w:highlight w:val="none"/>
          <w:u w:val="single"/>
        </w:rPr>
        <w:t xml:space="preserve">  按照相关规定，由承包人提供。</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由承包人提供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44"/>
      <w:r/>
      <w:bookmarkEnd w:id="445"/>
      <w:r/>
      <w:bookmarkEnd w:id="446"/>
      <w:r/>
      <w:bookmarkEnd w:id="447"/>
      <w:r/>
      <w:bookmarkEnd w:id="448"/>
      <w:r/>
      <w:bookmarkEnd w:id="449"/>
      <w:r/>
      <w:bookmarkEnd w:id="450"/>
      <w:r/>
      <w:bookmarkEnd w:id="451"/>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452" w:name="_Toc351203642"/>
      <w:r>
        <w:rPr>
          <w:rFonts w:hint="eastAsia" w:ascii="宋体" w:hAnsi="宋体" w:eastAsia="宋体" w:cs="宋体"/>
          <w:b w:val="0"/>
          <w:color w:val="auto"/>
          <w:sz w:val="21"/>
          <w:szCs w:val="21"/>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300934989"/>
      <w:r/>
      <w:bookmarkStart w:id="454" w:name="_Toc296347192"/>
      <w:r/>
      <w:bookmarkStart w:id="455" w:name="_Toc297048379"/>
      <w:r/>
      <w:bookmarkStart w:id="456" w:name="_Toc296346694"/>
      <w:r/>
      <w:bookmarkStart w:id="457" w:name="_Toc292559903"/>
      <w:r/>
      <w:bookmarkStart w:id="458" w:name="_Toc303539146"/>
      <w:r/>
      <w:bookmarkStart w:id="459" w:name="_Toc296891021"/>
      <w:r/>
      <w:bookmarkStart w:id="460" w:name="_Toc297216199"/>
      <w:r/>
      <w:bookmarkStart w:id="461" w:name="_Toc296503193"/>
      <w:r/>
      <w:bookmarkStart w:id="462" w:name="_Toc297120493"/>
      <w:r/>
      <w:bookmarkStart w:id="463" w:name="_Toc304295566"/>
      <w:r/>
      <w:bookmarkStart w:id="464" w:name="_Toc292559398"/>
      <w:r/>
      <w:bookmarkStart w:id="465" w:name="_Toc296944532"/>
      <w:r/>
      <w:bookmarkStart w:id="466" w:name="_Toc297123540"/>
      <w:r/>
      <w:bookmarkStart w:id="467" w:name="_Toc296891233"/>
      <w:r/>
      <w:bookmarkStart w:id="468" w:name="_Toc312677499"/>
      <w:r/>
      <w:bookmarkStart w:id="469" w:name="_Toc312678025"/>
      <w:r/>
      <w:bookmarkStart w:id="470" w:name="_Toc267251439"/>
      <w:r/>
      <w:bookmarkStart w:id="471" w:name="_Toc267251441"/>
      <w:r/>
      <w:bookmarkStart w:id="472" w:name="_Toc267251435"/>
      <w:r/>
      <w:bookmarkStart w:id="473" w:name="_Toc267251440"/>
      <w:r/>
      <w:bookmarkStart w:id="474" w:name="_Toc267251433"/>
      <w:r/>
      <w:bookmarkStart w:id="475" w:name="_Toc267251437"/>
      <w:r/>
      <w:bookmarkStart w:id="476" w:name="_Toc267251442"/>
      <w:r>
        <w:rPr>
          <w:rFonts w:hint="eastAsia" w:ascii="宋体" w:hAnsi="宋体" w:eastAsia="宋体" w:cs="宋体"/>
          <w:b w:val="0"/>
          <w:color w:val="auto"/>
          <w:sz w:val="21"/>
          <w:szCs w:val="21"/>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77" w:name="_Toc296347193"/>
      <w:r/>
      <w:bookmarkStart w:id="478" w:name="_Toc292559399"/>
      <w:r/>
      <w:bookmarkStart w:id="479" w:name="_Toc297123541"/>
      <w:r/>
      <w:bookmarkStart w:id="480" w:name="_Toc304295567"/>
      <w:r/>
      <w:bookmarkStart w:id="481" w:name="_Toc296891234"/>
      <w:r/>
      <w:bookmarkStart w:id="482" w:name="_Toc312678026"/>
      <w:r/>
      <w:bookmarkStart w:id="483" w:name="_Toc297120494"/>
      <w:r/>
      <w:bookmarkStart w:id="484" w:name="_Toc292559904"/>
      <w:r/>
      <w:bookmarkStart w:id="485" w:name="_Toc296944533"/>
      <w:r/>
      <w:bookmarkStart w:id="486" w:name="_Toc297048380"/>
      <w:r/>
      <w:bookmarkStart w:id="487" w:name="_Toc296503194"/>
      <w:r/>
      <w:bookmarkStart w:id="488" w:name="_Toc297216200"/>
      <w:r/>
      <w:bookmarkStart w:id="489" w:name="_Toc312677500"/>
      <w:r/>
      <w:bookmarkStart w:id="490" w:name="_Toc303539147"/>
      <w:r/>
      <w:bookmarkStart w:id="491" w:name="_Toc296346695"/>
      <w:r/>
      <w:bookmarkStart w:id="492" w:name="_Toc300934990"/>
      <w:r/>
      <w:bookmarkStart w:id="493" w:name="_Toc296891022"/>
      <w:r>
        <w:rPr>
          <w:rFonts w:hint="eastAsia" w:ascii="宋体" w:hAnsi="宋体" w:eastAsia="宋体" w:cs="宋体"/>
          <w:color w:val="auto"/>
          <w:sz w:val="21"/>
          <w:szCs w:val="21"/>
          <w:highlight w:val="none"/>
        </w:rPr>
        <w:t xml:space="preserve">0.1变更的范围</w:t>
      </w:r>
      <w:r/>
    </w:p>
    <w:p>
      <w:pPr>
        <w:ind w:firstLine="60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  按通用条款执行，施工过程中涉及的工程变更、签证单需经发包人加盖公章认可后方可执行，否则审计决算不予认可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关于变更估价的约定: </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原则3、本工程发生的变更及现场签证等内容每十五天进行确认，其签证款项待结算时一起支付。</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相关细则</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（2）、若施工中出现施工图纸（含设计变更）与工程量清单项目特征描述不符的， 应以施工图纸（含设计变更）进行施工，并按新的项目特征确定相应工程量清单项目的综合单价。</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（3）、因分部分项工程量清单漏项或非承包人原因的工程变更，造成增加新的工程量清单项目，其对应的综合单价按下列方法确定：</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,1)</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合同中已有适用的综合单价，按合同中已有的综合单价确定；</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(指其采用的材料、施工工艺和方法相同，亦不因此增加关键线路上工程的施工时间）</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,2)</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合同中有类似的综合单价，参照类似的综合单价确定；</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(指其采用的材料、施工工艺和方法基本相似，不因此增加关键线路上工程的施工时间，仅调整材料价差，其余不调整）</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,3)</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合同中没有适用或类似的综合单价，按以下方法确定综合单价：</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22"/>
        <w:pageBreakBefore w:val="0"/>
        <w:spacing w:line="440" w:lineRule="exact"/>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（5）、承包人施工及生活用水用电费，根据其耗电用量及供水供电部门所收取的标准，加上公共分摊的部分，由发包人向承包人收取。</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7123544"/>
      <w:r/>
      <w:bookmarkStart w:id="495" w:name="_Toc296503197"/>
      <w:r/>
      <w:bookmarkStart w:id="496" w:name="_Toc296891237"/>
      <w:r/>
      <w:bookmarkStart w:id="497" w:name="_Toc303539150"/>
      <w:r/>
      <w:bookmarkStart w:id="498" w:name="_Toc297216203"/>
      <w:r/>
      <w:bookmarkStart w:id="499" w:name="_Toc296891025"/>
      <w:r/>
      <w:bookmarkStart w:id="500" w:name="_Toc292559402"/>
      <w:r/>
      <w:bookmarkStart w:id="501" w:name="_Toc296346698"/>
      <w:r/>
      <w:bookmarkStart w:id="502" w:name="_Toc292559907"/>
      <w:r/>
      <w:bookmarkStart w:id="503" w:name="_Toc297048383"/>
      <w:r/>
      <w:bookmarkStart w:id="504" w:name="_Toc296347196"/>
      <w:r/>
      <w:bookmarkStart w:id="505" w:name="_Toc297120497"/>
      <w:r/>
      <w:bookmarkStart w:id="506" w:name="_Toc300934993"/>
      <w:r/>
      <w:bookmarkStart w:id="507" w:name="_Toc296944536"/>
      <w:r/>
      <w:bookmarkStart w:id="508" w:name="_Toc304295570"/>
      <w:r/>
      <w:bookmarkStart w:id="509" w:name="_Toc312677503"/>
      <w:r/>
      <w:bookmarkStart w:id="510" w:name="_Toc312678029"/>
      <w:r>
        <w:rPr>
          <w:rFonts w:hint="eastAsia" w:ascii="宋体" w:hAnsi="宋体" w:eastAsia="宋体" w:cs="宋体"/>
          <w:color w:val="auto"/>
          <w:sz w:val="21"/>
          <w:szCs w:val="21"/>
          <w:highlight w:val="none"/>
        </w:rPr>
        <w:t xml:space="preserve">0.5承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7048389"/>
      <w:r/>
      <w:bookmarkStart w:id="512" w:name="_Toc296891031"/>
      <w:r/>
      <w:bookmarkStart w:id="513" w:name="_Toc297123545"/>
      <w:r/>
      <w:bookmarkStart w:id="514" w:name="_Toc300934994"/>
      <w:r/>
      <w:bookmarkStart w:id="515" w:name="_Toc296346704"/>
      <w:r/>
      <w:bookmarkStart w:id="516" w:name="_Toc297216204"/>
      <w:r/>
      <w:bookmarkStart w:id="517" w:name="_Toc296503203"/>
      <w:r/>
      <w:bookmarkStart w:id="518" w:name="_Toc303539151"/>
      <w:r/>
      <w:bookmarkStart w:id="519" w:name="_Toc296347202"/>
      <w:r/>
      <w:bookmarkStart w:id="520" w:name="_Toc296891243"/>
      <w:r/>
      <w:bookmarkStart w:id="521" w:name="_Toc296944542"/>
      <w:r/>
      <w:bookmarkStart w:id="522" w:name="_Toc292559913"/>
      <w:r/>
      <w:bookmarkStart w:id="523" w:name="_Toc297120503"/>
      <w:r/>
      <w:bookmarkStart w:id="524" w:name="_Toc292559408"/>
      <w:r>
        <w:rPr>
          <w:rFonts w:hint="eastAsia" w:ascii="宋体" w:hAnsi="宋体" w:eastAsia="宋体" w:cs="宋体"/>
          <w:color w:val="auto"/>
          <w:sz w:val="21"/>
          <w:szCs w:val="21"/>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收到承包人提交的合理化建议后7日内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收到监理人报送的合理化建议后7日内</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525" w:name="_Toc297216205"/>
      <w:r/>
      <w:bookmarkStart w:id="526" w:name="_Toc303539152"/>
      <w:r/>
      <w:bookmarkStart w:id="527" w:name="_Toc292559409"/>
      <w:r/>
      <w:bookmarkStart w:id="528" w:name="_Toc296347203"/>
      <w:r/>
      <w:bookmarkStart w:id="529" w:name="_Toc296503204"/>
      <w:r/>
      <w:bookmarkStart w:id="530" w:name="_Toc304295571"/>
      <w:r/>
      <w:bookmarkStart w:id="531" w:name="_Toc300934995"/>
      <w:r/>
      <w:bookmarkStart w:id="532" w:name="_Toc312678030"/>
      <w:r/>
      <w:bookmarkStart w:id="533" w:name="_Toc318581175"/>
      <w:r/>
      <w:bookmarkStart w:id="534" w:name="_Toc296346705"/>
      <w:r/>
      <w:bookmarkStart w:id="535" w:name="_Toc312677504"/>
      <w:r/>
      <w:bookmarkStart w:id="536" w:name="_Toc297123546"/>
      <w:r/>
      <w:bookmarkStart w:id="537" w:name="_Toc296944543"/>
      <w:r/>
      <w:bookmarkStart w:id="538" w:name="_Toc296891032"/>
      <w:r/>
      <w:bookmarkStart w:id="539" w:name="_Toc296891244"/>
      <w:r/>
      <w:bookmarkStart w:id="540" w:name="_Toc297048390"/>
      <w:r/>
      <w:bookmarkStart w:id="541" w:name="_Toc297120504"/>
      <w:r/>
      <w:bookmarkStart w:id="542" w:name="_Toc29255991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543" w:name="_Toc296944538"/>
      <w:r/>
      <w:bookmarkStart w:id="544" w:name="_Toc312677507"/>
      <w:r/>
      <w:bookmarkStart w:id="545" w:name="_Toc292559909"/>
      <w:r/>
      <w:bookmarkStart w:id="546" w:name="_Toc312678033"/>
      <w:r/>
      <w:bookmarkStart w:id="547" w:name="_Toc297048385"/>
      <w:r/>
      <w:bookmarkStart w:id="548" w:name="_Toc297216207"/>
      <w:r/>
      <w:bookmarkStart w:id="549" w:name="_Toc296347198"/>
      <w:r/>
      <w:bookmarkStart w:id="550" w:name="_Toc296346700"/>
      <w:r/>
      <w:bookmarkStart w:id="551" w:name="_Toc304295574"/>
      <w:r/>
      <w:bookmarkStart w:id="552" w:name="_Toc296503199"/>
      <w:r/>
      <w:bookmarkStart w:id="553" w:name="_Toc297123548"/>
      <w:r/>
      <w:bookmarkStart w:id="554" w:name="_Toc292559404"/>
      <w:r/>
      <w:bookmarkStart w:id="555" w:name="_Toc296891239"/>
      <w:r/>
      <w:bookmarkStart w:id="556" w:name="_Toc297120499"/>
      <w:r/>
      <w:bookmarkStart w:id="557" w:name="_Toc296891027"/>
      <w:r/>
      <w:bookmarkStart w:id="558" w:name="_Toc300934997"/>
      <w:r/>
      <w:bookmarkStart w:id="559" w:name="_Toc303539154"/>
      <w:r>
        <w:rPr>
          <w:rFonts w:hint="eastAsia" w:ascii="宋体" w:hAnsi="宋体" w:eastAsia="宋体" w:cs="宋体"/>
          <w:color w:val="auto"/>
          <w:sz w:val="21"/>
          <w:szCs w:val="21"/>
          <w:highlight w:val="none"/>
        </w:rPr>
        <w:t xml:space="preserve">0.7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560" w:name="_Toc312677508"/>
      <w:r/>
      <w:bookmarkStart w:id="561" w:name="_Toc318581176"/>
      <w:r/>
      <w:bookmarkStart w:id="562" w:name="_Toc312678034"/>
      <w:r>
        <w:rPr>
          <w:rFonts w:hint="eastAsia" w:ascii="宋体" w:hAnsi="宋体" w:eastAsia="宋体" w:cs="宋体"/>
          <w:color w:val="auto"/>
          <w:sz w:val="21"/>
          <w:szCs w:val="21"/>
          <w:highlight w:val="none"/>
        </w:rPr>
        <w:t xml:space="preserve">估价材料和工程设备的明细详见附件11：《</w:t>
      </w:r>
      <w:r>
        <w:rPr>
          <w:rFonts w:hint="eastAsia" w:ascii="宋体" w:hAnsi="宋体" w:eastAsia="宋体" w:cs="宋体"/>
          <w:color w:val="auto"/>
          <w:sz w:val="21"/>
          <w:szCs w:val="21"/>
          <w:highlight w:val="none"/>
        </w:rPr>
        <w:t xml:space="preserve">暂估价一览表》</w:t>
      </w:r>
      <w:r>
        <w:rPr>
          <w:rFonts w:hint="eastAsia" w:ascii="宋体" w:hAnsi="宋体" w:eastAsia="宋体" w:cs="宋体"/>
          <w:color w:val="auto"/>
          <w:sz w:val="21"/>
          <w:szCs w:val="21"/>
          <w:highlight w:val="none"/>
        </w:rPr>
        <w:t xml:space="preserve">。</w:t>
      </w:r>
      <w:bookmarkEnd w:id="560"/>
      <w:r/>
      <w:bookmarkEnd w:id="561"/>
      <w:r/>
      <w:bookmarkEnd w:id="562"/>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63" w:name="_Toc312678035"/>
      <w:r/>
      <w:bookmarkStart w:id="564" w:name="_Toc318581177"/>
      <w:r/>
      <w:bookmarkStart w:id="565" w:name="_Toc312677509"/>
      <w:r>
        <w:rPr>
          <w:rFonts w:hint="eastAsia" w:ascii="宋体" w:hAnsi="宋体" w:eastAsia="宋体" w:cs="宋体"/>
          <w:color w:val="auto"/>
          <w:sz w:val="21"/>
          <w:szCs w:val="21"/>
          <w:highlight w:val="none"/>
        </w:rPr>
        <w:t xml:space="preserve">0.7.1 依法必须招标的暂估价项目</w:t>
      </w:r>
      <w:bookmarkEnd w:id="563"/>
      <w:r/>
      <w:bookmarkEnd w:id="564"/>
      <w:r/>
      <w:bookmarkEnd w:id="565"/>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由发包人依法组织招标选择暂估价的供应商或分包人。</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不属于依法招标的暂估价项目，在实施过程中发包人可将部分不属于依法必须招标的暂估价项目直接委托给承包人，并由发包人确认暂估价价格。</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暂列金额应按照发包人的要求使用  </w:t>
      </w:r>
      <w:r>
        <w:rPr>
          <w:rFonts w:hint="eastAsia" w:ascii="宋体" w:hAnsi="宋体" w:eastAsia="宋体" w:cs="宋体"/>
          <w:color w:val="auto"/>
          <w:sz w:val="21"/>
          <w:szCs w:val="21"/>
          <w:highlight w:val="none"/>
        </w:rPr>
        <w:t xml:space="preserve">。</w:t>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566" w:name="_Toc351203643"/>
      <w:r>
        <w:rPr>
          <w:rFonts w:hint="eastAsia" w:ascii="宋体" w:hAnsi="宋体" w:eastAsia="宋体" w:cs="宋体"/>
          <w:b w:val="0"/>
          <w:color w:val="auto"/>
          <w:sz w:val="21"/>
          <w:szCs w:val="21"/>
          <w:highlight w:val="none"/>
        </w:rPr>
        <w:t xml:space="preserve">11. 价格调整</w:t>
      </w:r>
      <w:bookmarkEnd w:id="566"/>
      <w:r/>
      <w:r/>
    </w:p>
    <w:p>
      <w:pPr>
        <w:ind w:firstLine="420"/>
        <w:pageBreakBefore w:val="0"/>
        <w:spacing w:after="120" w:line="440" w:lineRule="exact"/>
        <w:rPr>
          <w:rFonts w:hint="eastAsia" w:ascii="宋体" w:hAnsi="宋体" w:eastAsia="宋体" w:cs="宋体"/>
          <w:color w:val="auto"/>
          <w:sz w:val="21"/>
          <w:szCs w:val="21"/>
          <w:highlight w:val="none"/>
        </w:rPr>
      </w:pPr>
      <w:r/>
      <w:bookmarkStart w:id="567" w:name="_Toc297120501"/>
      <w:r/>
      <w:bookmarkStart w:id="568" w:name="_Toc304295577"/>
      <w:r/>
      <w:bookmarkStart w:id="569" w:name="_Toc296347200"/>
      <w:r/>
      <w:bookmarkStart w:id="570" w:name="_Toc296891241"/>
      <w:r/>
      <w:bookmarkStart w:id="571" w:name="_Toc292559406"/>
      <w:r/>
      <w:bookmarkStart w:id="572" w:name="_Toc296503201"/>
      <w:r/>
      <w:bookmarkStart w:id="573" w:name="_Toc297216209"/>
      <w:r/>
      <w:bookmarkStart w:id="574" w:name="_Toc296891029"/>
      <w:r/>
      <w:bookmarkStart w:id="575" w:name="_Toc297123550"/>
      <w:r/>
      <w:bookmarkStart w:id="576" w:name="_Toc303539157"/>
      <w:r/>
      <w:bookmarkStart w:id="577" w:name="_Toc297048387"/>
      <w:r/>
      <w:bookmarkStart w:id="578" w:name="_Toc292559911"/>
      <w:r/>
      <w:bookmarkStart w:id="579" w:name="_Toc300935000"/>
      <w:r/>
      <w:bookmarkStart w:id="580" w:name="_Toc312678039"/>
      <w:r/>
      <w:bookmarkStart w:id="581" w:name="_Toc296944540"/>
      <w:r/>
      <w:bookmarkStart w:id="582" w:name="_Toc296346702"/>
      <w:r>
        <w:rPr>
          <w:rFonts w:hint="eastAsia" w:ascii="宋体" w:hAnsi="宋体" w:eastAsia="宋体" w:cs="宋体"/>
          <w:color w:val="auto"/>
          <w:sz w:val="21"/>
          <w:szCs w:val="21"/>
          <w:highlight w:val="none"/>
        </w:rPr>
        <w:t xml:space="preserve">11.1 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不调整  </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材料差价（风险）：</w:t>
      </w:r>
      <w:r>
        <w:rPr>
          <w:rFonts w:hint="eastAsia" w:ascii="宋体" w:hAnsi="宋体" w:eastAsia="宋体" w:cs="宋体"/>
          <w:color w:val="auto"/>
          <w:sz w:val="21"/>
          <w:szCs w:val="21"/>
          <w:highlight w:val="none"/>
          <w:u w:val="single"/>
        </w:rPr>
        <w:t xml:space="preserve">不调整 。</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11.2政策性调整</w:t>
      </w:r>
      <w:r/>
    </w:p>
    <w:p>
      <w:pPr>
        <w:ind w:firstLine="42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政策性文件是否调整合同价格的约定：</w:t>
      </w:r>
      <w:r>
        <w:rPr>
          <w:rFonts w:hint="eastAsia" w:ascii="宋体" w:hAnsi="宋体" w:eastAsia="宋体" w:cs="宋体"/>
          <w:color w:val="auto"/>
          <w:sz w:val="21"/>
          <w:szCs w:val="21"/>
          <w:highlight w:val="none"/>
          <w:u w:val="single"/>
        </w:rPr>
        <w:t xml:space="preserve">不调整。</w:t>
      </w:r>
      <w:bookmarkEnd w:id="470"/>
      <w:r/>
      <w:bookmarkEnd w:id="471"/>
      <w:r/>
      <w:bookmarkEnd w:id="472"/>
      <w:r/>
      <w:bookmarkEnd w:id="473"/>
      <w:r/>
      <w:bookmarkEnd w:id="474"/>
      <w:r/>
      <w:bookmarkEnd w:id="475"/>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583" w:name="_Toc296346706"/>
      <w:r/>
      <w:bookmarkStart w:id="584" w:name="_Toc296944544"/>
      <w:r/>
      <w:bookmarkStart w:id="585" w:name="_Toc296891033"/>
      <w:r/>
      <w:bookmarkStart w:id="586" w:name="_Toc292559410"/>
      <w:r/>
      <w:bookmarkStart w:id="587" w:name="_Toc296347204"/>
      <w:r/>
      <w:bookmarkStart w:id="588" w:name="_Toc296891245"/>
      <w:r/>
      <w:bookmarkStart w:id="589" w:name="_Toc292559915"/>
      <w:r/>
      <w:bookmarkStart w:id="590" w:name="_Toc297048391"/>
      <w:r/>
      <w:bookmarkStart w:id="591" w:name="_Toc297120505"/>
      <w:r/>
      <w:bookmarkStart w:id="592" w:name="_Toc296503205"/>
      <w:r/>
      <w:bookmarkStart w:id="593" w:name="_Toc351203644"/>
      <w:r/>
      <w:bookmarkStart w:id="594" w:name="_Toc297123552"/>
      <w:r/>
      <w:bookmarkStart w:id="595" w:name="_Toc300935002"/>
      <w:r/>
      <w:bookmarkStart w:id="596" w:name="_Toc304295579"/>
      <w:r/>
      <w:bookmarkStart w:id="597" w:name="_Toc312678040"/>
      <w:r/>
      <w:bookmarkStart w:id="598" w:name="_Toc303539159"/>
      <w:r/>
      <w:bookmarkStart w:id="599" w:name="_Toc297216211"/>
      <w:r>
        <w:rPr>
          <w:rFonts w:hint="eastAsia" w:ascii="宋体" w:hAnsi="宋体" w:eastAsia="宋体" w:cs="宋体"/>
          <w:b w:val="0"/>
          <w:color w:val="auto"/>
          <w:sz w:val="21"/>
          <w:szCs w:val="21"/>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eastAsia="宋体" w:cs="宋体"/>
          <w:b w:val="0"/>
          <w:color w:val="auto"/>
          <w:sz w:val="21"/>
          <w:szCs w:val="21"/>
          <w:highlight w:val="none"/>
        </w:rPr>
        <w:t xml:space="preserve">合同价格、计量与支付</w:t>
      </w:r>
      <w:bookmarkEnd w:id="593"/>
      <w:r/>
      <w:bookmarkEnd w:id="594"/>
      <w:r/>
      <w:bookmarkEnd w:id="595"/>
      <w:r/>
      <w:bookmarkEnd w:id="596"/>
      <w:r/>
      <w:bookmarkEnd w:id="597"/>
      <w:r/>
      <w:bookmarkEnd w:id="598"/>
      <w:r/>
      <w:bookmarkEnd w:id="599"/>
      <w:r/>
      <w:r/>
    </w:p>
    <w:p>
      <w:pPr>
        <w:ind w:firstLine="420"/>
        <w:pageBreakBefore w:val="0"/>
        <w:spacing w:after="120" w:line="440" w:lineRule="exact"/>
        <w:rPr>
          <w:rFonts w:hint="eastAsia" w:ascii="宋体" w:hAnsi="宋体" w:eastAsia="宋体" w:cs="宋体"/>
          <w:color w:val="auto"/>
          <w:sz w:val="21"/>
          <w:szCs w:val="21"/>
          <w:highlight w:val="none"/>
        </w:rPr>
      </w:pPr>
      <w:r/>
      <w:bookmarkStart w:id="600" w:name="_Toc267251461"/>
      <w:r/>
      <w:bookmarkStart w:id="601" w:name="_Toc292559411"/>
      <w:r/>
      <w:bookmarkStart w:id="602" w:name="_Toc292559916"/>
      <w:r/>
      <w:bookmarkStart w:id="603" w:name="_Toc296503206"/>
      <w:r/>
      <w:bookmarkStart w:id="604" w:name="_Toc296891034"/>
      <w:r/>
      <w:bookmarkStart w:id="605" w:name="_Toc296891246"/>
      <w:r/>
      <w:bookmarkStart w:id="606" w:name="_Toc296346707"/>
      <w:r/>
      <w:bookmarkStart w:id="607" w:name="_Toc297048392"/>
      <w:r/>
      <w:bookmarkStart w:id="608" w:name="_Toc296347205"/>
      <w:r/>
      <w:bookmarkStart w:id="609" w:name="_Toc297120506"/>
      <w:r/>
      <w:bookmarkStart w:id="610" w:name="_Toc296944545"/>
      <w:r/>
      <w:bookmarkStart w:id="611" w:name="_Toc312678041"/>
      <w:r/>
      <w:bookmarkStart w:id="612" w:name="_Toc300935003"/>
      <w:r/>
      <w:bookmarkStart w:id="613" w:name="_Toc297123553"/>
      <w:r/>
      <w:bookmarkStart w:id="614" w:name="_Toc304295580"/>
      <w:r/>
      <w:bookmarkStart w:id="615" w:name="_Toc303539160"/>
      <w:r/>
      <w:bookmarkStart w:id="616" w:name="_Toc297216212"/>
      <w:r>
        <w:rPr>
          <w:rFonts w:hint="eastAsia" w:ascii="宋体" w:hAnsi="宋体" w:eastAsia="宋体" w:cs="宋体"/>
          <w:color w:val="auto"/>
          <w:sz w:val="21"/>
          <w:szCs w:val="21"/>
          <w:highlight w:val="none"/>
        </w:rPr>
        <w:t xml:space="preserve">12.1 合</w:t>
      </w:r>
      <w:bookmarkEnd w:id="600"/>
      <w:r/>
      <w:bookmarkEnd w:id="601"/>
      <w:r/>
      <w:bookmarkEnd w:id="602"/>
      <w:r>
        <w:rPr>
          <w:rFonts w:hint="eastAsia" w:ascii="宋体" w:hAnsi="宋体" w:eastAsia="宋体" w:cs="宋体"/>
          <w:color w:val="auto"/>
          <w:sz w:val="21"/>
          <w:szCs w:val="21"/>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eastAsia="宋体" w:cs="宋体"/>
          <w:color w:val="auto"/>
          <w:sz w:val="21"/>
          <w:szCs w:val="21"/>
          <w:highlight w:val="none"/>
        </w:rPr>
        <w:t xml:space="preserve">格形式</w:t>
      </w:r>
      <w:bookmarkEnd w:id="611"/>
      <w:r/>
      <w:bookmarkEnd w:id="612"/>
      <w:r/>
      <w:bookmarkEnd w:id="613"/>
      <w:r/>
      <w:bookmarkEnd w:id="614"/>
      <w:r/>
      <w:bookmarkEnd w:id="615"/>
      <w:r/>
      <w:bookmarkEnd w:id="616"/>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本工程采用</w:t>
      </w:r>
      <w:r>
        <w:rPr>
          <w:rFonts w:hint="eastAsia" w:ascii="宋体" w:hAnsi="宋体" w:eastAsia="宋体" w:cs="宋体"/>
          <w:b/>
          <w:color w:val="auto"/>
          <w:sz w:val="21"/>
          <w:szCs w:val="21"/>
          <w:highlight w:val="none"/>
        </w:rPr>
        <w:t xml:space="preserve">固定单价合同</w:t>
      </w:r>
      <w:r>
        <w:rPr>
          <w:rFonts w:hint="eastAsia" w:ascii="宋体" w:hAnsi="宋体" w:eastAsia="宋体" w:cs="宋体"/>
          <w:color w:val="auto"/>
          <w:sz w:val="21"/>
          <w:szCs w:val="21"/>
          <w:highlight w:val="none"/>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投标人投标报价时自行考虑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本工程结算时按照苏建函价〔2018〕298号（营改增）执行，采用一般计税法结算。</w:t>
      </w:r>
      <w:r/>
    </w:p>
    <w:p>
      <w:pPr>
        <w:ind w:firstLine="420"/>
        <w:jc w:val="left"/>
        <w:pageBreakBefore w:val="0"/>
        <w:spacing w:line="440" w:lineRule="exact"/>
        <w:rPr>
          <w:rFonts w:hint="eastAsia" w:ascii="宋体" w:hAnsi="宋体" w:eastAsia="宋体" w:cs="宋体"/>
          <w:color w:val="auto"/>
          <w:sz w:val="21"/>
          <w:szCs w:val="21"/>
          <w:highlight w:val="none"/>
        </w:rPr>
      </w:pPr>
      <w:r/>
      <w:bookmarkStart w:id="617" w:name="_Toc296346708"/>
      <w:r/>
      <w:bookmarkStart w:id="618" w:name="_Toc297048393"/>
      <w:r/>
      <w:bookmarkStart w:id="619" w:name="_Toc297120507"/>
      <w:r/>
      <w:bookmarkStart w:id="620" w:name="_Toc292559917"/>
      <w:r/>
      <w:bookmarkStart w:id="621" w:name="_Toc296891247"/>
      <w:r/>
      <w:bookmarkStart w:id="622" w:name="_Toc296891035"/>
      <w:r/>
      <w:bookmarkStart w:id="623" w:name="_Toc296944546"/>
      <w:r/>
      <w:bookmarkStart w:id="624" w:name="_Toc300935004"/>
      <w:r/>
      <w:bookmarkStart w:id="625" w:name="_Toc292559412"/>
      <w:r/>
      <w:bookmarkStart w:id="626" w:name="_Toc304295581"/>
      <w:r/>
      <w:bookmarkStart w:id="627" w:name="_Toc296503207"/>
      <w:r/>
      <w:bookmarkStart w:id="628" w:name="_Toc296347206"/>
      <w:r/>
      <w:bookmarkStart w:id="629" w:name="_Toc297216213"/>
      <w:r/>
      <w:bookmarkStart w:id="630" w:name="_Toc312678042"/>
      <w:r/>
      <w:bookmarkStart w:id="631" w:name="_Toc297123554"/>
      <w:r/>
      <w:bookmarkStart w:id="632" w:name="_Toc303539161"/>
      <w:r>
        <w:rPr>
          <w:rFonts w:hint="eastAsia" w:ascii="宋体" w:hAnsi="宋体" w:eastAsia="宋体" w:cs="宋体"/>
          <w:color w:val="auto"/>
          <w:sz w:val="21"/>
          <w:szCs w:val="21"/>
          <w:highlight w:val="none"/>
        </w:rPr>
        <w:t xml:space="preserve">12.2 预付款</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b/>
          <w:bCs/>
          <w:color w:val="auto"/>
          <w:sz w:val="21"/>
          <w:szCs w:val="21"/>
          <w:highlight w:val="none"/>
          <w:u w:val="single"/>
        </w:rPr>
        <w:t xml:space="preserve">合同价（扣除暂列金额及专业工程暂估价）的10%</w:t>
      </w:r>
      <w:r>
        <w:rPr>
          <w:rFonts w:hint="eastAsia" w:ascii="宋体" w:hAnsi="宋体" w:eastAsia="宋体" w:cs="宋体"/>
          <w:b/>
          <w:b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b/>
          <w:bCs/>
          <w:color w:val="000000"/>
          <w:sz w:val="21"/>
          <w:szCs w:val="21"/>
          <w:highlight w:val="none"/>
          <w:u w:val="single"/>
        </w:rPr>
        <w:t xml:space="preserve">开工令发出后且承包人提供了发包人认可的等额预付款银行保函后 15 日内，发包人向承包人支付合同价款（扣除暂估价、暂列金额）的 10%的预付款。</w:t>
      </w:r>
      <w:r/>
    </w:p>
    <w:p>
      <w:pPr>
        <w:ind w:firstLine="420"/>
        <w:keepLines w:val="0"/>
        <w:keepNext w:val="0"/>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b/>
          <w:bCs/>
          <w:color w:val="000000"/>
          <w:sz w:val="21"/>
          <w:szCs w:val="21"/>
          <w:highlight w:val="none"/>
          <w:u w:val="single"/>
        </w:rPr>
        <w:t xml:space="preserve">第一次支付进度款时一次性扣回预付款，若当期应付工程款不足以抵扣预付款，则不足以抵扣部分在下次支付工程款时继续抵扣，直到扣清为止，扣完后退回预付款担保。</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keepLines w:val="0"/>
        <w:keepNext w:val="0"/>
        <w:pageBreakBefore w:val="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b/>
          <w:bCs/>
          <w:spacing w:val="6"/>
          <w:sz w:val="21"/>
          <w:szCs w:val="21"/>
          <w:highlight w:val="none"/>
          <w:u w:val="single"/>
        </w:rPr>
        <w:t xml:space="preserve">开工令发出后</w:t>
      </w:r>
      <w:r>
        <w:rPr>
          <w:rFonts w:hint="eastAsia" w:ascii="宋体" w:hAnsi="宋体" w:eastAsia="宋体" w:cs="宋体"/>
          <w:spacing w:val="-19"/>
          <w:sz w:val="21"/>
          <w:szCs w:val="21"/>
          <w:highlight w:val="none"/>
          <w:u w:val="single"/>
        </w:rPr>
        <w:t xml:space="preserve"> </w:t>
      </w:r>
      <w:r>
        <w:rPr>
          <w:rFonts w:hint="eastAsia" w:ascii="宋体" w:hAnsi="宋体" w:eastAsia="宋体" w:cs="宋体"/>
          <w:b/>
          <w:bCs/>
          <w:spacing w:val="6"/>
          <w:sz w:val="21"/>
          <w:szCs w:val="21"/>
          <w:highlight w:val="none"/>
          <w:u w:val="single"/>
        </w:rPr>
        <w:t xml:space="preserve">15</w:t>
      </w:r>
      <w:r>
        <w:rPr>
          <w:rFonts w:hint="eastAsia" w:ascii="宋体" w:hAnsi="宋体" w:eastAsia="宋体" w:cs="宋体"/>
          <w:spacing w:val="6"/>
          <w:sz w:val="21"/>
          <w:szCs w:val="21"/>
          <w:highlight w:val="none"/>
          <w:u w:val="single"/>
        </w:rPr>
        <w:t xml:space="preserve"> </w:t>
      </w:r>
      <w:r>
        <w:rPr>
          <w:rFonts w:hint="eastAsia" w:ascii="宋体" w:hAnsi="宋体" w:eastAsia="宋体" w:cs="宋体"/>
          <w:b/>
          <w:bCs/>
          <w:spacing w:val="6"/>
          <w:sz w:val="21"/>
          <w:szCs w:val="21"/>
          <w:highlight w:val="none"/>
          <w:u w:val="single"/>
        </w:rPr>
        <w:t xml:space="preserve">日内承包人提供发包人认可的等额预付款</w:t>
      </w:r>
      <w:r>
        <w:rPr>
          <w:rFonts w:hint="eastAsia" w:ascii="宋体" w:hAnsi="宋体" w:eastAsia="宋体" w:cs="宋体"/>
          <w:b/>
          <w:bCs/>
          <w:spacing w:val="2"/>
          <w:sz w:val="21"/>
          <w:szCs w:val="21"/>
          <w:highlight w:val="none"/>
          <w:u w:val="single"/>
        </w:rPr>
        <w:t xml:space="preserve">保函</w:t>
      </w:r>
      <w:r>
        <w:rPr>
          <w:rFonts w:hint="eastAsia" w:ascii="宋体" w:hAnsi="宋体" w:eastAsia="宋体" w:cs="宋体"/>
          <w:spacing w:val="8"/>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b/>
          <w:bCs/>
          <w:spacing w:val="7"/>
          <w:sz w:val="21"/>
          <w:szCs w:val="21"/>
          <w:highlight w:val="none"/>
          <w:u w:val="single"/>
        </w:rPr>
        <w:t xml:space="preserve">银行</w:t>
      </w:r>
      <w:bookmarkStart w:id="772" w:name="_GoBack"/>
      <w:r/>
      <w:bookmarkEnd w:id="772"/>
      <w:r>
        <w:rPr>
          <w:rFonts w:hint="eastAsia" w:ascii="宋体" w:hAnsi="宋体" w:eastAsia="宋体" w:cs="宋体"/>
          <w:b/>
          <w:bCs/>
          <w:spacing w:val="7"/>
          <w:sz w:val="21"/>
          <w:szCs w:val="21"/>
          <w:highlight w:val="none"/>
          <w:u w:val="single"/>
        </w:rPr>
        <w:t xml:space="preserve">保函</w:t>
      </w:r>
      <w:r>
        <w:rPr>
          <w:rFonts w:hint="eastAsia" w:ascii="宋体" w:hAnsi="宋体" w:eastAsia="宋体" w:cs="宋体"/>
          <w:b/>
          <w:sz w:val="21"/>
          <w:szCs w:val="21"/>
          <w:highlight w:val="none"/>
          <w:u w:val="singl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  执行《建设工程工程量清单计价规范》（GB50500-2013）、《江苏省建筑与装饰工程计价表》（2014）、《江苏省仿古建筑与园林工程计价表》（2007）、《江苏省建设工程费用定额》（2014年）、《江苏省安装工程计价定额》、江苏省和连云港市的有关计价文件；现行计价定额及相关图集；承包人实际完成的工程量按约定的工程量计算规则和有合同约束力的图纸进行计量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440" w:lineRule="exact"/>
        <w:rPr>
          <w:rFonts w:hint="eastAsia" w:ascii="宋体" w:hAnsi="宋体" w:eastAsia="宋体" w:cs="宋体"/>
          <w:color w:val="auto"/>
          <w:sz w:val="21"/>
          <w:szCs w:val="21"/>
          <w:highlight w:val="none"/>
          <w:lang w:eastAsia="zh-CN"/>
        </w:rPr>
      </w:pPr>
      <w:r/>
      <w:bookmarkStart w:id="633" w:name="_Toc292559921"/>
      <w:r/>
      <w:bookmarkStart w:id="634" w:name="_Toc296891251"/>
      <w:r/>
      <w:bookmarkStart w:id="635" w:name="_Toc296346712"/>
      <w:r/>
      <w:bookmarkStart w:id="636" w:name="_Toc296891039"/>
      <w:r/>
      <w:bookmarkStart w:id="637" w:name="_Toc292559416"/>
      <w:r/>
      <w:bookmarkStart w:id="638" w:name="_Toc297120511"/>
      <w:r/>
      <w:bookmarkStart w:id="639" w:name="_Toc300935006"/>
      <w:r/>
      <w:bookmarkStart w:id="640" w:name="_Toc297216215"/>
      <w:r/>
      <w:bookmarkStart w:id="641" w:name="_Toc297048397"/>
      <w:r/>
      <w:bookmarkStart w:id="642" w:name="_Toc296503211"/>
      <w:r/>
      <w:bookmarkStart w:id="643" w:name="_Toc303539163"/>
      <w:r/>
      <w:bookmarkStart w:id="644" w:name="_Toc296944550"/>
      <w:r/>
      <w:bookmarkStart w:id="645" w:name="_Toc296347210"/>
      <w:r/>
      <w:bookmarkStart w:id="646" w:name="_Toc297123556"/>
      <w:r>
        <w:rPr>
          <w:rFonts w:hint="eastAsia" w:ascii="宋体" w:hAnsi="宋体" w:eastAsia="宋体" w:cs="宋体"/>
          <w:color w:val="auto"/>
          <w:sz w:val="21"/>
          <w:szCs w:val="21"/>
          <w:highlight w:val="none"/>
        </w:rPr>
        <w:t xml:space="preserve">12.4.1 付款周期</w:t>
      </w:r>
      <w:r/>
    </w:p>
    <w:p>
      <w:pPr>
        <w:ind w:firstLine="422"/>
        <w:spacing w:line="360" w:lineRule="auto"/>
        <w:shd w:val="clear" w:color="auto" w:fill="ffffff"/>
        <w:widowControl/>
        <w:rPr>
          <w:rFonts w:hint="eastAsia" w:ascii="宋体" w:hAnsi="宋体" w:eastAsia="宋体" w:cs="宋体"/>
          <w:b/>
          <w:bCs/>
          <w:sz w:val="21"/>
          <w:szCs w:val="21"/>
          <w:highlight w:val="none"/>
          <w:u w:val="none"/>
        </w:rPr>
      </w:pPr>
      <w:r>
        <w:rPr>
          <w:rFonts w:hint="eastAsia" w:ascii="宋体" w:hAnsi="宋体" w:eastAsia="宋体" w:cs="宋体"/>
          <w:b/>
          <w:bCs/>
          <w:color w:val="auto"/>
          <w:sz w:val="21"/>
          <w:szCs w:val="21"/>
          <w:highlight w:val="none"/>
          <w:u w:val="none"/>
        </w:rPr>
        <w:t xml:space="preserve">工程</w:t>
      </w:r>
      <w:r>
        <w:rPr>
          <w:rFonts w:hint="eastAsia" w:ascii="宋体" w:hAnsi="宋体" w:cs="宋体"/>
          <w:b/>
          <w:bCs/>
          <w:color w:val="auto"/>
          <w:sz w:val="21"/>
          <w:szCs w:val="21"/>
          <w:highlight w:val="none"/>
          <w:u w:val="none"/>
          <w:lang w:eastAsia="zh-CN"/>
        </w:rPr>
        <w:t xml:space="preserve">完工验收合格后</w:t>
      </w:r>
      <w:r>
        <w:rPr>
          <w:rFonts w:hint="eastAsia" w:ascii="宋体" w:hAnsi="宋体" w:eastAsia="宋体" w:cs="宋体"/>
          <w:b/>
          <w:bCs/>
          <w:color w:val="auto"/>
          <w:sz w:val="21"/>
          <w:szCs w:val="21"/>
          <w:highlight w:val="none"/>
          <w:u w:val="none"/>
        </w:rPr>
        <w:t xml:space="preserve">付至已完合格工程量价款的</w:t>
      </w:r>
      <w:r>
        <w:rPr>
          <w:rFonts w:hint="eastAsia" w:ascii="宋体" w:hAnsi="宋体" w:eastAsia="宋体" w:cs="宋体"/>
          <w:b/>
          <w:bCs/>
          <w:color w:val="auto"/>
          <w:sz w:val="21"/>
          <w:szCs w:val="21"/>
          <w:highlight w:val="none"/>
          <w:u w:val="none"/>
          <w:lang w:val="en-US" w:eastAsia="zh-CN"/>
        </w:rPr>
        <w:t xml:space="preserve">8</w:t>
      </w:r>
      <w:r>
        <w:rPr>
          <w:rFonts w:hint="eastAsia" w:ascii="宋体" w:hAnsi="宋体" w:eastAsia="宋体" w:cs="宋体"/>
          <w:b/>
          <w:bCs/>
          <w:color w:val="auto"/>
          <w:sz w:val="21"/>
          <w:szCs w:val="21"/>
          <w:highlight w:val="none"/>
          <w:u w:val="none"/>
        </w:rPr>
        <w:t xml:space="preserve">0%，</w:t>
      </w:r>
      <w:r>
        <w:rPr>
          <w:rFonts w:hint="eastAsia" w:ascii="宋体" w:hAnsi="宋体" w:cs="宋体"/>
          <w:b/>
          <w:bCs/>
          <w:color w:val="auto"/>
          <w:sz w:val="21"/>
          <w:szCs w:val="21"/>
          <w:highlight w:val="none"/>
          <w:u w:val="none"/>
          <w:lang w:eastAsia="zh-CN"/>
        </w:rPr>
        <w:t xml:space="preserve">审计完成</w:t>
      </w:r>
      <w:r>
        <w:rPr>
          <w:rFonts w:hint="eastAsia" w:ascii="宋体" w:hAnsi="宋体" w:eastAsia="宋体" w:cs="宋体"/>
          <w:b/>
          <w:bCs/>
          <w:color w:val="auto"/>
          <w:sz w:val="21"/>
          <w:szCs w:val="21"/>
          <w:highlight w:val="none"/>
          <w:u w:val="none"/>
        </w:rPr>
        <w:t xml:space="preserve">后付至</w:t>
      </w:r>
      <w:r>
        <w:rPr>
          <w:rFonts w:hint="eastAsia" w:ascii="宋体" w:hAnsi="宋体" w:eastAsia="宋体" w:cs="宋体"/>
          <w:b/>
          <w:bCs/>
          <w:color w:val="auto"/>
          <w:sz w:val="21"/>
          <w:szCs w:val="21"/>
          <w:highlight w:val="none"/>
          <w:u w:val="none"/>
          <w:lang w:eastAsia="zh-CN"/>
        </w:rPr>
        <w:t xml:space="preserve">审定价</w:t>
      </w:r>
      <w:r>
        <w:rPr>
          <w:rFonts w:hint="eastAsia" w:ascii="宋体" w:hAnsi="宋体" w:eastAsia="宋体" w:cs="宋体"/>
          <w:b/>
          <w:bCs/>
          <w:color w:val="auto"/>
          <w:sz w:val="21"/>
          <w:szCs w:val="21"/>
          <w:highlight w:val="none"/>
          <w:u w:val="none"/>
        </w:rPr>
        <w:t xml:space="preserve">的97% 。留</w:t>
      </w:r>
      <w:r>
        <w:rPr>
          <w:rFonts w:hint="eastAsia" w:ascii="宋体" w:hAnsi="宋体" w:eastAsia="宋体" w:cs="宋体"/>
          <w:b/>
          <w:bCs/>
          <w:color w:val="auto"/>
          <w:sz w:val="21"/>
          <w:szCs w:val="21"/>
          <w:highlight w:val="none"/>
          <w:u w:val="none"/>
          <w:lang w:eastAsia="zh-CN"/>
        </w:rPr>
        <w:t xml:space="preserve">审定价款</w:t>
      </w:r>
      <w:r>
        <w:rPr>
          <w:rFonts w:hint="eastAsia" w:ascii="宋体" w:hAnsi="宋体" w:eastAsia="宋体" w:cs="宋体"/>
          <w:b/>
          <w:bCs/>
          <w:color w:val="auto"/>
          <w:sz w:val="21"/>
          <w:szCs w:val="21"/>
          <w:highlight w:val="none"/>
          <w:u w:val="none"/>
        </w:rPr>
        <w:t xml:space="preserve">的3％作为质量保修金，待</w:t>
      </w:r>
      <w:r>
        <w:rPr>
          <w:rFonts w:hint="eastAsia" w:ascii="宋体" w:hAnsi="宋体" w:cs="宋体"/>
          <w:b/>
          <w:bCs/>
          <w:color w:val="auto"/>
          <w:sz w:val="21"/>
          <w:szCs w:val="21"/>
          <w:highlight w:val="none"/>
          <w:u w:val="none"/>
          <w:lang w:eastAsia="zh-CN"/>
        </w:rPr>
        <w:t xml:space="preserve">缺陷责任期（</w:t>
      </w:r>
      <w:r>
        <w:rPr>
          <w:rFonts w:hint="eastAsia" w:ascii="宋体" w:hAnsi="宋体" w:cs="宋体"/>
          <w:b/>
          <w:bCs/>
          <w:color w:val="auto"/>
          <w:sz w:val="21"/>
          <w:szCs w:val="21"/>
          <w:highlight w:val="none"/>
          <w:u w:val="none"/>
          <w:lang w:val="en-US" w:eastAsia="zh-CN"/>
        </w:rPr>
        <w:t xml:space="preserve">2年</w:t>
      </w:r>
      <w:r>
        <w:rPr>
          <w:rFonts w:hint="eastAsia" w:ascii="宋体" w:hAnsi="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lang w:eastAsia="zh-CN"/>
        </w:rPr>
        <w:t xml:space="preserve">满</w:t>
      </w:r>
      <w:r>
        <w:rPr>
          <w:rFonts w:hint="eastAsia" w:ascii="宋体" w:hAnsi="宋体" w:eastAsia="宋体" w:cs="宋体"/>
          <w:b/>
          <w:bCs/>
          <w:color w:val="auto"/>
          <w:sz w:val="21"/>
          <w:szCs w:val="21"/>
          <w:highlight w:val="none"/>
          <w:u w:val="none"/>
        </w:rPr>
        <w:t xml:space="preserve">后</w:t>
      </w:r>
      <w:r>
        <w:rPr>
          <w:rFonts w:hint="eastAsia" w:ascii="宋体" w:hAnsi="宋体" w:eastAsia="宋体" w:cs="宋体"/>
          <w:b/>
          <w:bCs/>
          <w:color w:val="auto"/>
          <w:sz w:val="21"/>
          <w:szCs w:val="21"/>
          <w:highlight w:val="none"/>
          <w:u w:val="none"/>
          <w:lang w:eastAsia="zh-CN"/>
        </w:rPr>
        <w:t xml:space="preserve">付清余款</w:t>
      </w:r>
      <w:r>
        <w:rPr>
          <w:rFonts w:hint="eastAsia" w:ascii="宋体" w:hAnsi="宋体" w:eastAsia="宋体" w:cs="宋体"/>
          <w:b/>
          <w:bCs/>
          <w:color w:val="auto"/>
          <w:sz w:val="21"/>
          <w:szCs w:val="21"/>
          <w:highlight w:val="none"/>
          <w:u w:val="none"/>
        </w:rPr>
        <w:t xml:space="preserve">（不计利息）</w:t>
      </w:r>
      <w:r>
        <w:rPr>
          <w:rFonts w:hint="eastAsia" w:ascii="宋体" w:hAnsi="宋体" w:eastAsia="宋体" w:cs="宋体"/>
          <w:b/>
          <w:bCs/>
          <w:sz w:val="21"/>
          <w:szCs w:val="21"/>
          <w:highlight w:val="none"/>
          <w:u w:val="none"/>
        </w:rPr>
        <w:t xml:space="preserve">。</w:t>
      </w:r>
      <w:r/>
    </w:p>
    <w:p>
      <w:pPr>
        <w:pStyle w:val="875"/>
        <w:rPr>
          <w:rFonts w:hint="default" w:eastAsia="宋体"/>
          <w:highlight w:val="none"/>
          <w:lang w:val="en-US" w:eastAsia="zh-CN"/>
        </w:rPr>
      </w:pPr>
      <w:r>
        <w:rPr>
          <w:rFonts w:hint="eastAsia" w:ascii="宋体" w:hAnsi="宋体" w:eastAsia="宋体" w:cs="宋体"/>
          <w:b/>
          <w:bCs/>
          <w:sz w:val="21"/>
          <w:szCs w:val="21"/>
          <w:highlight w:val="none"/>
          <w:u w:val="none"/>
          <w:lang w:val="en-US" w:eastAsia="zh-CN"/>
        </w:rPr>
        <w:t xml:space="preserve">    每次支付工程款时，承包人须提供符合税法的正规发票，否则迟延付款的责任由承包人自行承担。</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不含工程变更、签证、索赔费用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施工至合同约定付款节点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在收到承包人进度付款申请单以及相关资料后7日内完成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在收到监理人报送的进度付款申请单及相关资料后30日内 。</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在进度款支付证书签发后14天内完成支付 </w:t>
      </w:r>
      <w:r>
        <w:rPr>
          <w:rFonts w:hint="eastAsia" w:ascii="宋体" w:hAnsi="宋体" w:eastAsia="宋体" w:cs="宋体"/>
          <w:color w:val="auto"/>
          <w:sz w:val="21"/>
          <w:szCs w:val="21"/>
          <w:highlight w:val="none"/>
        </w:rPr>
        <w:t xml:space="preserve">。</w:t>
      </w:r>
      <w:r/>
    </w:p>
    <w:p>
      <w:pPr>
        <w:ind w:firstLine="525"/>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52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76"/>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647" w:name="_Toc351203645"/>
      <w:r/>
      <w:bookmarkStart w:id="648" w:name="_Toc304295593"/>
      <w:r/>
      <w:bookmarkStart w:id="649" w:name="_Toc292559929"/>
      <w:r/>
      <w:bookmarkStart w:id="650" w:name="_Toc297120519"/>
      <w:r/>
      <w:bookmarkStart w:id="651" w:name="_Toc296891047"/>
      <w:r/>
      <w:bookmarkStart w:id="652" w:name="_Toc292559424"/>
      <w:r/>
      <w:bookmarkStart w:id="653" w:name="_Toc303539172"/>
      <w:r/>
      <w:bookmarkStart w:id="654" w:name="_Toc296346720"/>
      <w:r/>
      <w:bookmarkStart w:id="655" w:name="_Toc312678053"/>
      <w:r/>
      <w:bookmarkStart w:id="656" w:name="_Toc296503219"/>
      <w:r/>
      <w:bookmarkStart w:id="657" w:name="_Toc296944558"/>
      <w:r/>
      <w:bookmarkStart w:id="658" w:name="_Toc296891259"/>
      <w:r/>
      <w:bookmarkStart w:id="659" w:name="_Toc300935015"/>
      <w:r/>
      <w:bookmarkStart w:id="660" w:name="_Toc297048405"/>
      <w:r/>
      <w:bookmarkStart w:id="661" w:name="_Toc296347218"/>
      <w:r/>
      <w:bookmarkStart w:id="662" w:name="_Toc297123564"/>
      <w:r/>
      <w:bookmarkStart w:id="663" w:name="_Toc297216223"/>
      <w:r>
        <w:rPr>
          <w:rFonts w:hint="eastAsia" w:ascii="宋体" w:hAnsi="宋体" w:eastAsia="宋体" w:cs="宋体"/>
          <w:b w:val="0"/>
          <w:color w:val="auto"/>
          <w:sz w:val="21"/>
          <w:szCs w:val="21"/>
          <w:highlight w:val="none"/>
        </w:rPr>
        <w:t xml:space="preserve">13. 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0"/>
        <w:pageBreakBefore w:val="0"/>
        <w:spacing w:after="120" w:line="440" w:lineRule="exact"/>
        <w:rPr>
          <w:rFonts w:hint="eastAsia" w:ascii="宋体" w:hAnsi="宋体" w:eastAsia="宋体" w:cs="宋体"/>
          <w:color w:val="auto"/>
          <w:sz w:val="21"/>
          <w:szCs w:val="21"/>
          <w:highlight w:val="none"/>
        </w:rPr>
      </w:pPr>
      <w:r/>
      <w:bookmarkStart w:id="664" w:name="_Toc297123565"/>
      <w:r/>
      <w:bookmarkStart w:id="665" w:name="_Toc304295596"/>
      <w:r/>
      <w:bookmarkStart w:id="666" w:name="_Toc312678056"/>
      <w:r/>
      <w:bookmarkStart w:id="667" w:name="_Toc300935016"/>
      <w:r/>
      <w:bookmarkStart w:id="668" w:name="_Toc297216224"/>
      <w:r/>
      <w:bookmarkStart w:id="669" w:name="_Toc303539173"/>
      <w:r/>
      <w:bookmarkStart w:id="670" w:name="_Toc296503223"/>
      <w:r/>
      <w:bookmarkStart w:id="671" w:name="_Toc297120523"/>
      <w:r/>
      <w:bookmarkStart w:id="672" w:name="_Toc292559428"/>
      <w:r/>
      <w:bookmarkStart w:id="673" w:name="_Toc297048409"/>
      <w:r/>
      <w:bookmarkStart w:id="674" w:name="_Toc292559933"/>
      <w:r/>
      <w:bookmarkStart w:id="675" w:name="_Toc296346724"/>
      <w:r/>
      <w:bookmarkStart w:id="676" w:name="_Toc296891051"/>
      <w:r/>
      <w:bookmarkStart w:id="677" w:name="_Toc296891263"/>
      <w:r/>
      <w:bookmarkStart w:id="678" w:name="_Toc296347222"/>
      <w:r/>
      <w:bookmarkStart w:id="679" w:name="_Toc296944562"/>
      <w:r/>
      <w:bookmarkStart w:id="680" w:name="_Toc267251471"/>
      <w:r/>
      <w:bookmarkStart w:id="681" w:name="_Toc267251472"/>
      <w:r/>
      <w:bookmarkStart w:id="682" w:name="_Toc267251473"/>
      <w:r/>
      <w:bookmarkStart w:id="683" w:name="_Toc267251470"/>
      <w:r/>
      <w:bookmarkStart w:id="684" w:name="_Toc267251476"/>
      <w:r/>
      <w:bookmarkStart w:id="685" w:name="_Toc267251474"/>
      <w:r/>
      <w:bookmarkStart w:id="686" w:name="_Toc267251475"/>
      <w:r>
        <w:rPr>
          <w:rFonts w:hint="eastAsia" w:ascii="宋体" w:hAnsi="宋体" w:eastAsia="宋体" w:cs="宋体"/>
          <w:color w:val="auto"/>
          <w:sz w:val="21"/>
          <w:szCs w:val="21"/>
          <w:highlight w:val="none"/>
        </w:rPr>
        <w:t xml:space="preserve">13.2 竣工验收</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0"/>
        <w:jc w:val="left"/>
        <w:pageBreakBefore w:val="0"/>
        <w:spacing w:line="440" w:lineRule="exact"/>
        <w:rPr>
          <w:rFonts w:hint="eastAsia" w:ascii="宋体" w:hAnsi="宋体" w:eastAsia="宋体" w:cs="宋体"/>
          <w:color w:val="auto"/>
          <w:sz w:val="21"/>
          <w:szCs w:val="21"/>
          <w:highlight w:val="none"/>
        </w:rPr>
      </w:pPr>
      <w:r/>
      <w:bookmarkStart w:id="687" w:name="_Toc280868704"/>
      <w:r/>
      <w:bookmarkStart w:id="688" w:name="_Toc280868705"/>
      <w:r/>
      <w:bookmarkStart w:id="689" w:name="_Toc280868706"/>
      <w:r/>
      <w:bookmarkStart w:id="690" w:name="_Toc280868707"/>
      <w:r/>
      <w:bookmarkStart w:id="691" w:name="_Toc280868708"/>
      <w:r/>
      <w:bookmarkStart w:id="692" w:name="_Toc280868709"/>
      <w:r>
        <w:rPr>
          <w:rFonts w:hint="eastAsia" w:ascii="宋体" w:hAnsi="宋体" w:eastAsia="宋体" w:cs="宋体"/>
          <w:color w:val="auto"/>
          <w:sz w:val="21"/>
          <w:szCs w:val="21"/>
          <w:highlight w:val="none"/>
        </w:rPr>
        <w:t xml:space="preserve">13.2.2竣工验收程序</w:t>
      </w:r>
      <w:bookmarkEnd w:id="687"/>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bookmarkEnd w:id="688"/>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689"/>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在颁发工程接收证书后7日内完成工程的移交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bookmarkEnd w:id="690"/>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  每推迟一天，承包人赔偿给发包人工程总价款5‰的违约金，违约金从工程竣工结算款中扣除</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691"/>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在移交结束后7日内完成竣工退场  </w:t>
      </w:r>
      <w:r>
        <w:rPr>
          <w:rFonts w:hint="eastAsia" w:ascii="宋体" w:hAnsi="宋体" w:eastAsia="宋体" w:cs="宋体"/>
          <w:color w:val="auto"/>
          <w:sz w:val="21"/>
          <w:szCs w:val="21"/>
          <w:highlight w:val="none"/>
        </w:rPr>
        <w:t xml:space="preserve">。</w:t>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693" w:name="_Toc351203646"/>
      <w:r>
        <w:rPr>
          <w:rFonts w:hint="eastAsia" w:ascii="宋体" w:hAnsi="宋体" w:eastAsia="宋体" w:cs="宋体"/>
          <w:b w:val="0"/>
          <w:color w:val="auto"/>
          <w:sz w:val="21"/>
          <w:szCs w:val="21"/>
          <w:highlight w:val="none"/>
        </w:rPr>
        <w:t xml:space="preserve">14. 竣工结算</w:t>
      </w:r>
      <w:bookmarkEnd w:id="693"/>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在工程竣工验收合格后28天内向发包人和监理人提交竣工结算申请单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（1）竣工结算合同价格；</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（2）发包人已支付承包人的款项；</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（3）应扣留的质量保证金； </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（4）发包人应支付承包人的合同价款。 </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发包人在收到承包人提交竣工结算申请书后6个月内完成审批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发包人应在签发竣工付款证书后，完成对承包人的竣工付款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w:t>
      </w:r>
      <w:r>
        <w:rPr>
          <w:rFonts w:hint="eastAsia" w:ascii="宋体" w:hAnsi="宋体" w:eastAsia="宋体" w:cs="宋体"/>
          <w:color w:val="auto"/>
          <w:sz w:val="21"/>
          <w:szCs w:val="21"/>
          <w:highlight w:val="none"/>
        </w:rPr>
        <w:t xml:space="preserve">。</w:t>
      </w:r>
      <w:r/>
    </w:p>
    <w:p>
      <w:pPr>
        <w:ind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工程结算值经最终审定后，核减额5%以内的审计费由发包人支付，超过5%部分的审计费由承包人支付，从工程款中扣除。</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在缺陷责任期终止证书颁发后7日内  </w:t>
      </w:r>
      <w:r>
        <w:rPr>
          <w:rFonts w:hint="eastAsia" w:ascii="宋体" w:hAnsi="宋体" w:eastAsia="宋体" w:cs="宋体"/>
          <w:color w:val="auto"/>
          <w:sz w:val="21"/>
          <w:szCs w:val="21"/>
          <w:highlight w:val="none"/>
        </w:rPr>
        <w:t xml:space="preserve">。 </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按发包人工作流程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在颁发最终结清证书后完成支付</w:t>
      </w:r>
      <w:r>
        <w:rPr>
          <w:rFonts w:hint="eastAsia" w:ascii="宋体" w:hAnsi="宋体" w:eastAsia="宋体" w:cs="宋体"/>
          <w:color w:val="auto"/>
          <w:sz w:val="21"/>
          <w:szCs w:val="21"/>
          <w:highlight w:val="none"/>
        </w:rPr>
        <w:t xml:space="preserve">。     </w:t>
      </w:r>
      <w:bookmarkEnd w:id="680"/>
      <w:r/>
      <w:bookmarkEnd w:id="681"/>
      <w:r/>
      <w:bookmarkEnd w:id="682"/>
      <w:r/>
      <w:bookmarkEnd w:id="683"/>
      <w:r/>
      <w:bookmarkEnd w:id="684"/>
      <w:r/>
      <w:bookmarkEnd w:id="685"/>
      <w:r/>
      <w:bookmarkEnd w:id="686"/>
      <w:r/>
      <w:bookmarkEnd w:id="692"/>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694" w:name="_Toc351203647"/>
      <w:r/>
      <w:bookmarkStart w:id="695" w:name="_Toc267251483"/>
      <w:r/>
      <w:bookmarkStart w:id="696" w:name="_Toc267251484"/>
      <w:r/>
      <w:bookmarkStart w:id="697" w:name="_Toc267251482"/>
      <w:r/>
      <w:bookmarkStart w:id="698" w:name="_Toc267251485"/>
      <w:r/>
      <w:bookmarkStart w:id="699" w:name="_Toc267251489"/>
      <w:r/>
      <w:bookmarkStart w:id="700" w:name="_Toc267251490"/>
      <w:r/>
      <w:bookmarkStart w:id="701" w:name="_Toc267251486"/>
      <w:r/>
      <w:bookmarkStart w:id="702" w:name="_Toc267251488"/>
      <w:r/>
      <w:bookmarkStart w:id="703" w:name="_Toc267251491"/>
      <w:r/>
      <w:bookmarkStart w:id="704" w:name="_Toc267251502"/>
      <w:r/>
      <w:bookmarkStart w:id="705" w:name="_Toc267251499"/>
      <w:r/>
      <w:bookmarkStart w:id="706" w:name="_Toc267251497"/>
      <w:r/>
      <w:bookmarkStart w:id="707" w:name="_Toc267251495"/>
      <w:r/>
      <w:bookmarkStart w:id="708" w:name="_Toc267251503"/>
      <w:r/>
      <w:bookmarkStart w:id="709" w:name="_Toc267251498"/>
      <w:r/>
      <w:bookmarkStart w:id="710" w:name="_Toc267251494"/>
      <w:r/>
      <w:bookmarkStart w:id="711" w:name="_Toc267251492"/>
      <w:r/>
      <w:bookmarkStart w:id="712" w:name="_Toc267251493"/>
      <w:r/>
      <w:bookmarkStart w:id="713" w:name="_Toc267251496"/>
      <w:r/>
      <w:bookmarkStart w:id="714" w:name="_Toc267251501"/>
      <w:r/>
      <w:bookmarkStart w:id="715" w:name="_Toc267251506"/>
      <w:r/>
      <w:bookmarkStart w:id="716" w:name="_Toc267251504"/>
      <w:r/>
      <w:bookmarkStart w:id="717" w:name="_Toc267251507"/>
      <w:r/>
      <w:bookmarkStart w:id="718" w:name="_Toc267251508"/>
      <w:r/>
      <w:bookmarkStart w:id="719" w:name="_Toc267251514"/>
      <w:r/>
      <w:bookmarkStart w:id="720" w:name="_Toc267251510"/>
      <w:r/>
      <w:bookmarkStart w:id="721" w:name="_Toc267251509"/>
      <w:r/>
      <w:bookmarkStart w:id="722" w:name="_Toc267251511"/>
      <w:r/>
      <w:bookmarkStart w:id="723" w:name="_Toc267251513"/>
      <w:r/>
      <w:bookmarkStart w:id="724" w:name="_Toc267251515"/>
      <w:r>
        <w:rPr>
          <w:rFonts w:hint="eastAsia" w:ascii="宋体" w:hAnsi="宋体" w:eastAsia="宋体" w:cs="宋体"/>
          <w:b w:val="0"/>
          <w:color w:val="auto"/>
          <w:sz w:val="21"/>
          <w:szCs w:val="21"/>
          <w:highlight w:val="none"/>
        </w:rPr>
        <w:t xml:space="preserve">15. 缺陷责任期与保修</w:t>
      </w:r>
      <w:bookmarkEnd w:id="694"/>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695"/>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自实际竣工日期起</w:t>
      </w:r>
      <w:r>
        <w:rPr>
          <w:rFonts w:hint="eastAsia" w:ascii="宋体" w:hAnsi="宋体" w:eastAsia="宋体" w:cs="宋体"/>
          <w:b/>
          <w:color w:val="auto"/>
          <w:sz w:val="21"/>
          <w:szCs w:val="21"/>
          <w:highlight w:val="none"/>
          <w:u w:val="single"/>
          <w:lang w:val="en-US" w:eastAsia="zh-CN"/>
        </w:rPr>
        <w:t xml:space="preserve">24</w:t>
      </w:r>
      <w:r>
        <w:rPr>
          <w:rFonts w:hint="eastAsia" w:ascii="宋体" w:hAnsi="宋体" w:eastAsia="宋体" w:cs="宋体"/>
          <w:b/>
          <w:color w:val="auto"/>
          <w:sz w:val="21"/>
          <w:szCs w:val="21"/>
          <w:highlight w:val="none"/>
          <w:u w:val="single"/>
        </w:rPr>
        <w:t xml:space="preserve">个月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扣留    </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%的工程款；</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工程结算价的3%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在颁发最终结清证书后30日内无息退还   </w:t>
      </w:r>
      <w:r>
        <w:rPr>
          <w:rFonts w:hint="eastAsia" w:ascii="宋体" w:hAnsi="宋体" w:eastAsia="宋体" w:cs="宋体"/>
          <w:color w:val="auto"/>
          <w:sz w:val="21"/>
          <w:szCs w:val="21"/>
          <w:highlight w:val="none"/>
        </w:rPr>
        <w:t xml:space="preserve">。</w:t>
      </w:r>
      <w:bookmarkEnd w:id="696"/>
      <w:r/>
      <w:bookmarkEnd w:id="697"/>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698"/>
      <w:r/>
      <w:r/>
    </w:p>
    <w:p>
      <w:pPr>
        <w:ind w:firstLine="409"/>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2</w:t>
      </w:r>
      <w:r>
        <w:rPr>
          <w:rFonts w:hint="eastAsia" w:ascii="宋体" w:hAnsi="宋体" w:eastAsia="宋体" w:cs="宋体"/>
          <w:color w:val="auto"/>
          <w:sz w:val="21"/>
          <w:szCs w:val="21"/>
          <w:highlight w:val="none"/>
          <w:u w:val="single"/>
        </w:rPr>
        <w:t xml:space="preserve">年  </w:t>
      </w:r>
      <w:r>
        <w:rPr>
          <w:rFonts w:hint="eastAsia" w:ascii="宋体" w:hAnsi="宋体" w:eastAsia="宋体" w:cs="宋体"/>
          <w:color w:val="auto"/>
          <w:sz w:val="21"/>
          <w:szCs w:val="21"/>
          <w:highlight w:val="none"/>
        </w:rPr>
        <w:t xml:space="preserve">。</w:t>
      </w:r>
      <w:r/>
    </w:p>
    <w:p>
      <w:pPr>
        <w:ind w:firstLine="409"/>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收到保修通知或口头通知后48小时内</w:t>
      </w:r>
      <w:r>
        <w:rPr>
          <w:rFonts w:hint="eastAsia" w:ascii="宋体" w:hAnsi="宋体" w:eastAsia="宋体" w:cs="宋体"/>
          <w:color w:val="auto"/>
          <w:sz w:val="21"/>
          <w:szCs w:val="21"/>
          <w:highlight w:val="none"/>
        </w:rPr>
        <w:t xml:space="preserve">。</w:t>
      </w:r>
      <w:bookmarkEnd w:id="699"/>
      <w:r/>
      <w:bookmarkEnd w:id="700"/>
      <w:r/>
      <w:bookmarkEnd w:id="701"/>
      <w:r/>
      <w:bookmarkEnd w:id="702"/>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725" w:name="_Toc351203648"/>
      <w:r/>
      <w:bookmarkStart w:id="726" w:name="_Toc280868717"/>
      <w:r/>
      <w:bookmarkStart w:id="727" w:name="_Toc280868718"/>
      <w:r>
        <w:rPr>
          <w:rFonts w:hint="eastAsia" w:ascii="宋体" w:hAnsi="宋体" w:eastAsia="宋体" w:cs="宋体"/>
          <w:b w:val="0"/>
          <w:color w:val="auto"/>
          <w:sz w:val="21"/>
          <w:szCs w:val="21"/>
          <w:highlight w:val="none"/>
        </w:rPr>
        <w:t xml:space="preserve">16. 违约</w:t>
      </w:r>
      <w:bookmarkEnd w:id="725"/>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left="1050" w:hanging="105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发包人承担</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 承包人承担全部费用，费用工期不顺延 。工期延误每延误一天，承包人赔偿给发包人合同总价款5‰的违约金。</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before="120"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  发包人没收全部履约保证金并暂停对承包人的付款 </w:t>
      </w:r>
      <w:r>
        <w:rPr>
          <w:rFonts w:hint="eastAsia" w:ascii="宋体" w:hAnsi="宋体" w:eastAsia="宋体" w:cs="宋体"/>
          <w:color w:val="auto"/>
          <w:sz w:val="21"/>
          <w:szCs w:val="21"/>
          <w:highlight w:val="none"/>
        </w:rPr>
        <w:t xml:space="preserve">。 </w:t>
      </w:r>
      <w:r/>
    </w:p>
    <w:p>
      <w:pPr>
        <w:ind w:firstLine="420"/>
        <w:pageBreakBefore w:val="0"/>
        <w:spacing w:before="120"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施工现场的材料、设备由发包人承担费用，其它费用由承包人承担  </w:t>
      </w:r>
      <w:r>
        <w:rPr>
          <w:rFonts w:hint="eastAsia" w:ascii="宋体" w:hAnsi="宋体" w:eastAsia="宋体" w:cs="宋体"/>
          <w:color w:val="auto"/>
          <w:sz w:val="21"/>
          <w:szCs w:val="21"/>
          <w:highlight w:val="none"/>
        </w:rPr>
        <w:t xml:space="preserve">。</w:t>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728" w:name="_Toc351203649"/>
      <w:r>
        <w:rPr>
          <w:rFonts w:hint="eastAsia" w:ascii="宋体" w:hAnsi="宋体" w:eastAsia="宋体" w:cs="宋体"/>
          <w:b w:val="0"/>
          <w:color w:val="auto"/>
          <w:sz w:val="21"/>
          <w:szCs w:val="21"/>
          <w:highlight w:val="none"/>
        </w:rPr>
        <w:t xml:space="preserve">17. 不可抗力</w:t>
      </w:r>
      <w:bookmarkEnd w:id="728"/>
      <w:r>
        <w:rPr>
          <w:rFonts w:hint="eastAsia" w:ascii="宋体" w:hAnsi="宋体" w:eastAsia="宋体" w:cs="宋体"/>
          <w:b w:val="0"/>
          <w:color w:val="auto"/>
          <w:sz w:val="21"/>
          <w:szCs w:val="21"/>
          <w:highlight w:val="none"/>
        </w:rPr>
        <w:t xml:space="preserve"> </w:t>
      </w:r>
      <w:bookmarkEnd w:id="726"/>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战争、动乱、空中飞行物体坠落以及洪水、地震、重大疫情等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729" w:name="_Toc351203650"/>
      <w:r>
        <w:rPr>
          <w:rFonts w:hint="eastAsia" w:ascii="宋体" w:hAnsi="宋体" w:eastAsia="宋体" w:cs="宋体"/>
          <w:b w:val="0"/>
          <w:color w:val="auto"/>
          <w:sz w:val="21"/>
          <w:szCs w:val="21"/>
          <w:highlight w:val="none"/>
        </w:rPr>
        <w:t xml:space="preserve">18. 保险</w:t>
      </w:r>
      <w:bookmarkEnd w:id="729"/>
      <w:r/>
      <w:bookmarkEnd w:id="727"/>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为工程购买建筑工程一切险，保险费用由承包人支付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承包人为施工现场的全部人员办理意外伤害保险、工程事故保险。一切事故均与发包方无关。 </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承包人为其施工设备等办理财产保险</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变更前应事先征得对方同意并通知监理人</w:t>
      </w:r>
      <w:r>
        <w:rPr>
          <w:rFonts w:hint="eastAsia" w:ascii="宋体" w:hAnsi="宋体" w:eastAsia="宋体" w:cs="宋体"/>
          <w:color w:val="auto"/>
          <w:sz w:val="21"/>
          <w:szCs w:val="21"/>
          <w:highlight w:val="none"/>
        </w:rPr>
        <w:t xml:space="preserve">。</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pStyle w:val="811"/>
        <w:pageBreakBefore w:val="0"/>
        <w:spacing w:before="120" w:after="120" w:line="440" w:lineRule="exact"/>
        <w:rPr>
          <w:rFonts w:hint="eastAsia" w:ascii="宋体" w:hAnsi="宋体" w:eastAsia="宋体" w:cs="宋体"/>
          <w:b w:val="0"/>
          <w:color w:val="auto"/>
          <w:sz w:val="21"/>
          <w:szCs w:val="21"/>
          <w:highlight w:val="none"/>
        </w:rPr>
      </w:pPr>
      <w:r/>
      <w:bookmarkStart w:id="730" w:name="_Toc351203651"/>
      <w:r>
        <w:rPr>
          <w:rFonts w:hint="eastAsia" w:ascii="宋体" w:hAnsi="宋体" w:eastAsia="宋体" w:cs="宋体"/>
          <w:b w:val="0"/>
          <w:color w:val="auto"/>
          <w:sz w:val="21"/>
          <w:szCs w:val="21"/>
          <w:highlight w:val="none"/>
        </w:rPr>
        <w:t xml:space="preserve">20. 争议解决</w:t>
      </w:r>
      <w:bookmarkEnd w:id="730"/>
      <w:r/>
      <w:bookmarkEnd w:id="715"/>
      <w:r/>
      <w:bookmarkEnd w:id="716"/>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717"/>
      <w:r>
        <w:rPr>
          <w:rFonts w:hint="eastAsia" w:ascii="宋体" w:hAnsi="宋体" w:eastAsia="宋体" w:cs="宋体"/>
          <w:color w:val="auto"/>
          <w:sz w:val="21"/>
          <w:szCs w:val="21"/>
          <w:highlight w:val="none"/>
        </w:rPr>
        <w:t xml:space="preserve">议评审</w:t>
      </w:r>
      <w:r/>
    </w:p>
    <w:p>
      <w:pPr>
        <w:ind w:left="149" w:firstLine="315"/>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after="120" w:line="440" w:lineRule="exact"/>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718"/>
      <w:r/>
      <w:r/>
    </w:p>
    <w:p>
      <w:pPr>
        <w:ind w:firstLine="420"/>
        <w:pageBreakBefore w:val="0"/>
        <w:spacing w:after="12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工程所在地有管辖权   </w:t>
      </w:r>
      <w:r>
        <w:rPr>
          <w:rFonts w:hint="eastAsia" w:ascii="宋体" w:hAnsi="宋体" w:eastAsia="宋体" w:cs="宋体"/>
          <w:color w:val="auto"/>
          <w:sz w:val="21"/>
          <w:szCs w:val="21"/>
          <w:highlight w:val="none"/>
        </w:rPr>
        <w:t xml:space="preserve">人民法院起诉。</w:t>
      </w:r>
      <w:bookmarkEnd w:id="719"/>
      <w:r/>
      <w:bookmarkEnd w:id="720"/>
      <w:r/>
      <w:bookmarkEnd w:id="721"/>
      <w:r/>
      <w:bookmarkEnd w:id="722"/>
      <w:r/>
      <w:bookmarkEnd w:id="723"/>
      <w:r/>
      <w:bookmarkEnd w:id="724"/>
      <w:r/>
      <w:r/>
    </w:p>
    <w:p>
      <w:pPr>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rPr>
        <w:t xml:space="preserve">结算时，以</w:t>
      </w:r>
      <w:r>
        <w:rPr>
          <w:rFonts w:hint="eastAsia" w:ascii="宋体" w:hAnsi="宋体" w:eastAsia="宋体" w:cs="宋体"/>
          <w:color w:val="000000"/>
          <w:sz w:val="21"/>
          <w:szCs w:val="21"/>
          <w:highlight w:val="none"/>
          <w:lang w:val="en-US" w:eastAsia="zh-CN"/>
        </w:rPr>
        <w:t xml:space="preserve">成交价</w:t>
      </w:r>
      <w:r>
        <w:rPr>
          <w:rFonts w:hint="eastAsia" w:ascii="宋体" w:hAnsi="宋体" w:eastAsia="宋体" w:cs="宋体"/>
          <w:color w:val="000000"/>
          <w:sz w:val="21"/>
          <w:szCs w:val="21"/>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为了确保工程顺利完成，施工期间若承包人有违背</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含合同条件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有关规定之行为，承包人无条件接受</w:t>
      </w:r>
      <w:r>
        <w:rPr>
          <w:rFonts w:hint="eastAsia" w:ascii="宋体" w:hAnsi="宋体" w:eastAsia="宋体" w:cs="宋体"/>
          <w:color w:val="000000"/>
          <w:sz w:val="21"/>
          <w:szCs w:val="21"/>
          <w:highlight w:val="none"/>
          <w:lang w:eastAsia="zh-CN"/>
        </w:rPr>
        <w:t xml:space="preserve">发包</w:t>
      </w:r>
      <w:r>
        <w:rPr>
          <w:rFonts w:hint="eastAsia" w:ascii="宋体" w:hAnsi="宋体" w:eastAsia="宋体" w:cs="宋体"/>
          <w:color w:val="000000"/>
          <w:sz w:val="21"/>
          <w:szCs w:val="21"/>
          <w:highlight w:val="none"/>
        </w:rPr>
        <w:t xml:space="preserve">人的一切处罚并赔偿所造成的一切损失，在</w:t>
      </w:r>
      <w:r>
        <w:rPr>
          <w:rFonts w:hint="eastAsia" w:ascii="宋体" w:hAnsi="宋体" w:eastAsia="宋体" w:cs="宋体"/>
          <w:color w:val="000000"/>
          <w:sz w:val="21"/>
          <w:szCs w:val="21"/>
          <w:highlight w:val="none"/>
          <w:lang w:val="en-US" w:eastAsia="zh-CN"/>
        </w:rPr>
        <w:t xml:space="preserve">发包人</w:t>
      </w:r>
      <w:r>
        <w:rPr>
          <w:rFonts w:hint="eastAsia" w:ascii="宋体" w:hAnsi="宋体" w:eastAsia="宋体" w:cs="宋体"/>
          <w:color w:val="000000"/>
          <w:sz w:val="21"/>
          <w:szCs w:val="21"/>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rPr>
        <w:t xml:space="preserve">承包人必须保证施工期间的民工工资发放，向有关部门足额缴纳该项保证金。若出现拖欠民工工资，视同承包人违约，发包人</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含拖欠的民工工资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的10%违约金，直至扣完为止。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特别申明：承包人未按施工进度计划要求完成施工内容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21.6</w:t>
      </w:r>
      <w:r>
        <w:rPr>
          <w:rFonts w:hint="eastAsia" w:ascii="宋体" w:hAnsi="宋体" w:eastAsia="宋体" w:cs="宋体"/>
          <w:color w:val="000000"/>
          <w:sz w:val="21"/>
          <w:szCs w:val="21"/>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21.7</w:t>
      </w:r>
      <w:r>
        <w:rPr>
          <w:rFonts w:hint="eastAsia" w:ascii="宋体" w:hAnsi="宋体" w:eastAsia="宋体" w:cs="宋体"/>
          <w:color w:val="000000"/>
          <w:sz w:val="21"/>
          <w:szCs w:val="21"/>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21.8</w:t>
      </w:r>
      <w:r>
        <w:rPr>
          <w:rFonts w:hint="eastAsia" w:ascii="宋体" w:hAnsi="宋体" w:eastAsia="宋体" w:cs="宋体"/>
          <w:color w:val="000000"/>
          <w:sz w:val="21"/>
          <w:szCs w:val="21"/>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21.9</w:t>
      </w:r>
      <w:r>
        <w:rPr>
          <w:rFonts w:hint="eastAsia" w:ascii="宋体" w:hAnsi="宋体" w:eastAsia="宋体" w:cs="宋体"/>
          <w:color w:val="000000"/>
          <w:sz w:val="21"/>
          <w:szCs w:val="21"/>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21.10</w:t>
      </w:r>
      <w:r>
        <w:rPr>
          <w:rFonts w:hint="eastAsia" w:ascii="宋体" w:hAnsi="宋体" w:eastAsia="宋体" w:cs="宋体"/>
          <w:color w:val="000000"/>
          <w:sz w:val="21"/>
          <w:szCs w:val="21"/>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pageBreakBefore w:val="0"/>
        <w:spacing w:line="4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ageBreakBefore w:val="0"/>
        <w:spacing w:line="440" w:lineRule="exact"/>
        <w:rPr>
          <w:rFonts w:hint="eastAsia" w:ascii="宋体" w:hAnsi="宋体" w:eastAsia="宋体" w:cs="宋体"/>
          <w:b/>
          <w:color w:val="000000"/>
          <w:sz w:val="21"/>
          <w:szCs w:val="21"/>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s="宋体"/>
          <w:b/>
          <w:color w:val="000000"/>
          <w:sz w:val="21"/>
          <w:szCs w:val="21"/>
        </w:rPr>
      </w:r>
      <w:r/>
    </w:p>
    <w:p>
      <w:pPr>
        <w:pStyle w:val="112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云台农场公安派出所营房建设项目</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二、质量保修期</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质量保修期从工程实际竣工之日算起。分单项竣工验收的工程，按单项工程分别计算质量保修期。</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双方根据国家有关规定，结合具体工程约定质量保修期如下：</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土建工程为   2  年，屋面防水工程为   </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  年；</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电气管线、上下水管线安装工程为   2  年；</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供热及供冷为   2  个采暖期及供冷期；</w:t>
      </w:r>
      <w:r/>
    </w:p>
    <w:p>
      <w:pPr>
        <w:ind w:firstLine="420"/>
        <w:spacing w:line="52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室外的上下水和小区道路等市政公用工程为   2  年</w:t>
      </w:r>
      <w:r>
        <w:rPr>
          <w:rFonts w:hint="eastAsia" w:ascii="宋体" w:hAnsi="宋体" w:eastAsia="宋体" w:cs="Times New Roman"/>
          <w:color w:val="000000"/>
          <w:sz w:val="21"/>
          <w:szCs w:val="21"/>
          <w:highlight w:val="none"/>
          <w:lang w:eastAsia="zh-CN"/>
        </w:rPr>
        <w:t xml:space="preserve">；</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其他约定</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 本项目质保期2年   。</w:t>
      </w:r>
      <w:r>
        <w:rPr>
          <w:rFonts w:hint="eastAsia" w:ascii="宋体" w:hAnsi="宋体" w:eastAsia="宋体" w:cs="Times New Roman"/>
          <w:color w:val="000000"/>
          <w:sz w:val="21"/>
          <w:szCs w:val="21"/>
          <w:highlight w:val="none"/>
        </w:rPr>
        <w:t xml:space="preserve">          </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质量保修期自工程竣工验收合格之日起计算。</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12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21"/>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7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5"/>
        <w:rPr>
          <w:rFonts w:hint="eastAsia" w:ascii="宋体" w:hAnsi="宋体" w:eastAsia="宋体"/>
          <w:color w:val="auto"/>
          <w:sz w:val="21"/>
          <w:szCs w:val="21"/>
          <w:highlight w:val="none"/>
        </w:rPr>
        <w:sectPr>
          <w:headerReference w:type="default" r:id="rId11"/>
          <w:footerReference w:type="default" r:id="rId16"/>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75"/>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104"/>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云台农场公安派出所营房建设项目</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云台农场公安派出所营房建设项目</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75"/>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keepLines w:val="0"/>
        <w:keepNext w:val="0"/>
        <w:pageBreakBefore w:val="0"/>
        <w:spacing w:line="240" w:lineRule="exact"/>
        <w:widowControl w:val="off"/>
        <w:rPr>
          <w:rFonts w:hint="eastAsia" w:ascii="宋体" w:hAnsi="宋体" w:cs="宋体"/>
          <w:b/>
          <w:bCs/>
          <w:highlight w:val="none"/>
        </w:rPr>
      </w:pPr>
      <w:r>
        <w:rPr>
          <w:rFonts w:hint="eastAsia" w:ascii="宋体" w:hAnsi="宋体" w:cs="宋体"/>
          <w:b/>
          <w:bCs/>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6</w:t>
      </w:r>
      <w:r>
        <w:rPr>
          <w:rFonts w:hint="eastAsia" w:ascii="宋体" w:hAnsi="宋体" w:cs="宋体"/>
          <w:b/>
          <w:bCs/>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10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0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本单位承建</w:t>
      </w:r>
      <w:r>
        <w:rPr>
          <w:rFonts w:hint="eastAsia" w:ascii="宋体" w:hAnsi="宋体" w:cs="宋体"/>
          <w:sz w:val="21"/>
          <w:szCs w:val="21"/>
          <w:highlight w:val="none"/>
          <w:lang w:eastAsia="zh-CN"/>
        </w:rPr>
        <w:t xml:space="preserve">云台农场公安派出所营房建设项目</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0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7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731"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731"/>
      <w:r/>
      <w:r/>
    </w:p>
    <w:p>
      <w:pPr>
        <w:ind w:firstLine="517"/>
        <w:jc w:val="left"/>
        <w:spacing w:line="360" w:lineRule="auto"/>
        <w:rPr>
          <w:rFonts w:hint="eastAsia" w:ascii="宋体" w:hAnsi="宋体" w:eastAsia="宋体" w:cs="宋体"/>
          <w:b/>
          <w:bCs/>
          <w:color w:val="auto"/>
          <w:sz w:val="21"/>
          <w:szCs w:val="21"/>
          <w:highlight w:val="none"/>
        </w:rPr>
      </w:pPr>
      <w:r/>
      <w:bookmarkStart w:id="732" w:name="_Toc61149622"/>
      <w:r/>
      <w:bookmarkStart w:id="733" w:name="_Toc26554097"/>
      <w:r/>
      <w:bookmarkStart w:id="734" w:name="_Toc23828480"/>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500" w:lineRule="exact"/>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ind w:firstLine="422"/>
        <w:jc w:val="left"/>
        <w:spacing w:line="500" w:lineRule="exact"/>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一</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云台农场公安派出所营房建设项目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400" w:lineRule="exact"/>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（一）本工程采用的计价规范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《建设工程工程量清单计价规范》（GB50500—2013）、</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《房屋建筑与装饰工程工程量计算规范》（GB50854-2013）、</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《通用安装工程工程量计算规范》（GB50856-2013）、</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《建筑工程建筑面积计算规范》（GB/T 50353 -2013）、</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《建筑安装工程工期定额》（TY01-89-2016）、</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2014年《江苏省建筑与装饰工程计价定额》、</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2014年《江苏省安装工程计价定额》、</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2014年《江苏省市政工程计价定额》、</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2016年《江苏省绿色建筑工程计价定额》、</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2014年《江苏省建设工程费用定额》</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《省住房城乡建设厅关于建筑业实施营改增后江苏省建设工程计价依据调整的通知》（苏建价[2016]154号文）以及相关上述标准、规范、定额等的最新解释执行文件、政策性文件等。</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en-US" w:eastAsia="zh-CN"/>
        </w:rPr>
        <w:t xml:space="preserve">现行的有关标准、规范、法律、法规、规章制</w:t>
      </w:r>
      <w:r>
        <w:rPr>
          <w:rFonts w:hint="eastAsia" w:ascii="宋体" w:hAnsi="宋体" w:eastAsia="宋体" w:cs="宋体"/>
          <w:color w:val="auto"/>
          <w:sz w:val="24"/>
          <w:szCs w:val="24"/>
          <w:highlight w:val="none"/>
          <w:lang w:val="en-US" w:eastAsia="zh-CN"/>
        </w:rPr>
        <w:t xml:space="preserve">度等。</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4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、商务条款</w:t>
      </w:r>
      <w:r/>
    </w:p>
    <w:p>
      <w:pPr>
        <w:ind w:firstLine="422"/>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1、付款方式：工程完工验收合格后付至已完合格工程量价款的80%，审计完成后付至审定价的97% 。留审定价款的3％作为质量保修金，待缺陷责任期（2年）满后付清余款（不计利息）。</w:t>
      </w:r>
      <w:r/>
    </w:p>
    <w:p>
      <w:pPr>
        <w:pStyle w:val="832"/>
        <w:ind w:firstLine="422"/>
        <w:jc w:val="left"/>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hAnsi="宋体" w:cs="宋体"/>
          <w:b/>
          <w:bCs/>
          <w:i/>
          <w:iCs/>
          <w:color w:val="auto"/>
          <w:sz w:val="21"/>
          <w:szCs w:val="21"/>
          <w:highlight w:val="none"/>
          <w:u w:val="single"/>
          <w:lang w:val="en-US" w:eastAsia="zh-CN"/>
        </w:rPr>
        <w:t xml:space="preserve">90</w:t>
      </w:r>
      <w:r>
        <w:rPr>
          <w:rFonts w:hint="eastAsia" w:ascii="宋体" w:hAnsi="宋体" w:eastAsia="宋体" w:cs="宋体"/>
          <w:b/>
          <w:bCs/>
          <w:i/>
          <w:iCs/>
          <w:color w:val="auto"/>
          <w:sz w:val="21"/>
          <w:szCs w:val="21"/>
          <w:highlight w:val="none"/>
          <w:u w:val="single"/>
          <w:lang w:val="en-US" w:eastAsia="zh-CN"/>
        </w:rPr>
        <w:t xml:space="preserve">日历天</w:t>
      </w:r>
      <w:r>
        <w:rPr>
          <w:rFonts w:hint="eastAsia" w:ascii="宋体" w:hAnsi="宋体" w:eastAsia="宋体" w:cs="宋体"/>
          <w:b/>
          <w:bCs/>
          <w:i/>
          <w:iCs/>
          <w:color w:val="auto"/>
          <w:sz w:val="21"/>
          <w:szCs w:val="21"/>
          <w:highlight w:val="none"/>
          <w:u w:val="single"/>
        </w:rPr>
        <w:t xml:space="preserve">（以实际开工日起计算）。</w:t>
      </w:r>
      <w:r/>
    </w:p>
    <w:p>
      <w:pPr>
        <w:ind w:firstLine="422"/>
        <w:keepLines w:val="0"/>
        <w:keepNext w:val="0"/>
        <w:pageBreakBefore w:val="0"/>
        <w:spacing w:line="48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440" w:lineRule="exact"/>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spacing w:line="520" w:lineRule="exact"/>
        <w:rPr>
          <w:rFonts w:ascii="宋体" w:hAnsi="宋体" w:cs="宋体"/>
          <w:b/>
          <w:bCs/>
          <w:color w:val="auto"/>
          <w:sz w:val="21"/>
          <w:szCs w:val="21"/>
          <w:highlight w:val="none"/>
        </w:rPr>
      </w:pPr>
      <w:r/>
      <w:bookmarkStart w:id="735" w:name="_Toc9279"/>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、报价及其他要求</w:t>
      </w:r>
      <w:bookmarkEnd w:id="735"/>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736" w:name="_Toc20093"/>
      <w:r/>
      <w:r/>
    </w:p>
    <w:p>
      <w:pPr>
        <w:rPr>
          <w:highlight w:val="none"/>
        </w:rPr>
      </w:pPr>
      <w:r>
        <w:rPr>
          <w:highlight w:val="none"/>
        </w:rPr>
      </w:r>
      <w:r/>
    </w:p>
    <w:p>
      <w:pPr>
        <w:pStyle w:val="80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736"/>
      <w:r/>
      <w:r/>
    </w:p>
    <w:p>
      <w:pPr>
        <w:rPr>
          <w:color w:val="auto"/>
          <w:highlight w:val="none"/>
        </w:rPr>
      </w:pPr>
      <w:r>
        <w:rPr>
          <w:color w:val="auto"/>
          <w:highlight w:val="none"/>
        </w:rPr>
      </w:r>
      <w:r/>
    </w:p>
    <w:p>
      <w:pPr>
        <w:rPr>
          <w:color w:val="auto"/>
          <w:highlight w:val="none"/>
        </w:rPr>
      </w:pPr>
      <w:r>
        <w:rPr>
          <w:color w:val="auto"/>
          <w:highlight w:val="none"/>
        </w:rPr>
      </w:r>
      <w:r/>
    </w:p>
    <w:p>
      <w:pPr>
        <w:pStyle w:val="107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7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75"/>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75"/>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75"/>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32"/>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832"/>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32"/>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32"/>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818"/>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35</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分</w:t>
            </w:r>
            <w:r/>
          </w:p>
          <w:p>
            <w:pPr>
              <w:jc w:val="both"/>
              <w:spacing w:line="400" w:lineRule="exact"/>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spacing w:line="312" w:lineRule="atLeast"/>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35分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5、</w:t>
            </w:r>
            <w:r>
              <w:rPr>
                <w:rFonts w:hint="eastAsia" w:ascii="宋体" w:hAnsi="宋体" w:cs="宋体"/>
                <w:b/>
                <w:bCs/>
                <w:color w:val="auto"/>
                <w:sz w:val="21"/>
                <w:szCs w:val="21"/>
                <w:highlight w:val="none"/>
                <w:lang w:val="en-US" w:eastAsia="zh-CN"/>
              </w:rPr>
              <w:t xml:space="preserve">加固方案</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技术</w:t>
            </w:r>
            <w:r>
              <w:rPr>
                <w:rFonts w:hint="eastAsia" w:ascii="宋体" w:hAnsi="宋体" w:eastAsia="宋体" w:cs="宋体"/>
                <w:b/>
                <w:bCs/>
                <w:color w:val="auto"/>
                <w:sz w:val="21"/>
                <w:szCs w:val="21"/>
                <w:highlight w:val="none"/>
              </w:rPr>
              <w:t xml:space="preserve">难点和解决方案</w:t>
            </w:r>
            <w:r/>
          </w:p>
          <w:p>
            <w:pPr>
              <w:pStyle w:val="1077"/>
              <w:ind w:firstLine="210"/>
              <w:jc w:val="left"/>
              <w:keepLines w:val="0"/>
              <w:keepNext w:val="0"/>
              <w:pageBreakBefore w:val="0"/>
              <w:spacing w:line="40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6</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4</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400" w:lineRule="exact"/>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jc w:val="left"/>
              <w:keepLines w:val="0"/>
              <w:keepNext w:val="0"/>
              <w:pageBreakBefore w:val="0"/>
              <w:spacing w:line="400" w:lineRule="exact"/>
              <w:widowControl w:val="off"/>
              <w:rPr>
                <w:rFonts w:hint="eastAsia"/>
                <w:b/>
                <w:bCs/>
                <w:color w:val="auto"/>
                <w:highlight w:val="none"/>
                <w:lang w:val="en-US"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6、</w:t>
            </w:r>
            <w:r>
              <w:rPr>
                <w:rFonts w:ascii="宋体" w:hAnsi="宋体" w:eastAsia="宋体" w:cs="宋体"/>
                <w:b/>
                <w:bCs/>
                <w:color w:val="000000"/>
                <w:sz w:val="21"/>
                <w:highlight w:val="none"/>
              </w:rPr>
              <w:t xml:space="preserve">施工机具设备及劳动力配置方案</w:t>
            </w:r>
            <w:r/>
          </w:p>
          <w:p>
            <w:pPr>
              <w:pStyle w:val="107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5</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3</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5</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1749"/>
        </w:trPr>
        <w:tc>
          <w:tcPr>
            <w:tcW w:w="1115" w:type="dxa"/>
            <w:vAlign w:val="center"/>
            <w:vMerge w:val="restart"/>
            <w:textDirection w:val="lrTb"/>
            <w:noWrap/>
          </w:tcPr>
          <w:p>
            <w:pPr>
              <w:jc w:val="both"/>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30分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1、认证体系 （满分6分）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411"/>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（满分10分）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过类似房建工程</w:t>
            </w:r>
            <w:r>
              <w:rPr>
                <w:rFonts w:hint="eastAsia" w:ascii="宋体" w:hAnsi="宋体" w:eastAsia="宋体" w:cs="宋体"/>
                <w:color w:val="auto"/>
                <w:sz w:val="21"/>
                <w:szCs w:val="21"/>
                <w:highlight w:val="none"/>
                <w:lang w:val="en-US" w:eastAsia="zh-CN"/>
              </w:rPr>
              <w:t xml:space="preserve">施工业绩的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i w:val="0"/>
                <w:iCs w:val="0"/>
                <w:color w:val="auto"/>
                <w:sz w:val="21"/>
                <w:szCs w:val="21"/>
                <w:highlight w:val="none"/>
                <w:lang w:val="en-US" w:eastAsia="zh-CN" w:bidi="ar-SA"/>
              </w:rPr>
              <w:t xml:space="preserve">证明材料须</w:t>
            </w:r>
            <w:r>
              <w:rPr>
                <w:rFonts w:hint="eastAsia" w:ascii="宋体" w:hAnsi="宋体" w:eastAsia="宋体" w:cs="宋体"/>
                <w:b/>
                <w:bCs/>
                <w:i w:val="0"/>
                <w:iCs w:val="0"/>
                <w:color w:val="auto"/>
                <w:sz w:val="24"/>
                <w:szCs w:val="24"/>
                <w:highlight w:val="none"/>
                <w:lang w:val="en-US" w:eastAsia="zh-CN" w:bidi="ar-SA"/>
              </w:rPr>
              <w:t xml:space="preserve">同时</w:t>
            </w:r>
            <w:r>
              <w:rPr>
                <w:rFonts w:hint="eastAsia" w:ascii="宋体" w:hAnsi="宋体" w:eastAsia="宋体" w:cs="宋体"/>
                <w:b/>
                <w:bCs/>
                <w:i w:val="0"/>
                <w:iCs w:val="0"/>
                <w:color w:val="auto"/>
                <w:sz w:val="21"/>
                <w:szCs w:val="21"/>
                <w:highlight w:val="none"/>
                <w:lang w:val="en-US" w:eastAsia="zh-CN" w:bidi="ar-SA"/>
              </w:rPr>
              <w:t xml:space="preserve">提供①中标（成交结果）通知书 ②合同 ③竣工验收证明（竣工验收证明须由建设单位、监理单位、施工单位共同签字盖章，否则不予认可），以上3个证明材料扫描件，未提供或未按要求提供，此项不得分。</w:t>
            </w:r>
            <w:r>
              <w:rPr>
                <w:rFonts w:hint="eastAsia" w:ascii="宋体" w:hAnsi="宋体" w:eastAsia="宋体" w:cs="宋体"/>
                <w:b/>
                <w:bCs/>
                <w:i w:val="0"/>
                <w:iCs w:val="0"/>
                <w:color w:val="auto"/>
                <w:sz w:val="21"/>
                <w:szCs w:val="21"/>
                <w:highlight w:val="none"/>
                <w:lang w:val="zh-CN" w:eastAsia="zh-CN" w:bidi="ar-SA"/>
              </w:rPr>
              <w:t xml:space="preserve">合同</w:t>
            </w:r>
            <w:r>
              <w:rPr>
                <w:rFonts w:hint="eastAsia" w:ascii="宋体" w:hAnsi="宋体" w:eastAsia="宋体" w:cs="宋体"/>
                <w:b/>
                <w:bCs/>
                <w:i w:val="0"/>
                <w:iCs w:val="0"/>
                <w:color w:val="auto"/>
                <w:sz w:val="21"/>
                <w:szCs w:val="21"/>
                <w:highlight w:val="none"/>
                <w:lang w:val="en-US" w:eastAsia="zh-CN" w:bidi="ar-SA"/>
              </w:rPr>
              <w:t xml:space="preserve">类似或是否符合要求，由评审委员会统一认定后给予得分。</w:t>
            </w:r>
            <w:r/>
          </w:p>
        </w:tc>
      </w:tr>
      <w:tr>
        <w:trPr>
          <w:jc w:val="center"/>
          <w:trHeight w:val="3980"/>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3、人员配备 （满分14分）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项目技术负责人</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 技术负责人具有壹级注册建造师得3分，具有贰级注册建造师得1分；本项最高得3分；</w:t>
            </w:r>
            <w:r/>
          </w:p>
          <w:p>
            <w:pPr>
              <w:numPr>
                <w:ilvl w:val="0"/>
                <w:numId w:val="0"/>
              </w:numPr>
              <w:ind w:firstLine="630"/>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 技术</w:t>
            </w:r>
            <w:r>
              <w:rPr>
                <w:rFonts w:hint="eastAsia" w:ascii="宋体" w:hAnsi="宋体" w:eastAsia="宋体" w:cs="宋体"/>
                <w:color w:val="auto"/>
                <w:sz w:val="21"/>
                <w:szCs w:val="21"/>
                <w:highlight w:val="none"/>
                <w:lang w:val="en-US" w:eastAsia="zh-CN"/>
              </w:rPr>
              <w:t xml:space="preserve">负责人具有工程建设类高级及以上工程师技术职称证书的得3分，具有</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级工程师技术职称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得1分；本项最高得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（2）项目组其他成员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 （项目负责人</w:t>
            </w:r>
            <w:r>
              <w:rPr>
                <w:rFonts w:hint="eastAsia" w:ascii="宋体" w:hAnsi="宋体" w:cs="宋体"/>
                <w:color w:val="auto"/>
                <w:sz w:val="21"/>
                <w:szCs w:val="21"/>
                <w:highlight w:val="none"/>
                <w:lang w:val="en-US" w:eastAsia="zh-CN"/>
              </w:rPr>
              <w:t xml:space="preserve">及技术负责人</w:t>
            </w:r>
            <w:r>
              <w:rPr>
                <w:rFonts w:hint="eastAsia" w:ascii="宋体" w:hAnsi="宋体" w:eastAsia="宋体" w:cs="宋体"/>
                <w:color w:val="auto"/>
                <w:sz w:val="21"/>
                <w:szCs w:val="21"/>
                <w:highlight w:val="none"/>
                <w:lang w:val="en-US" w:eastAsia="zh-CN"/>
              </w:rPr>
              <w:t xml:space="preserve">除外）</w:t>
            </w:r>
            <w:r/>
          </w:p>
          <w:p>
            <w:pPr>
              <w:numPr>
                <w:ilvl w:val="0"/>
                <w:numId w:val="0"/>
              </w:numPr>
              <w:ind w:firstLine="63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项目组成员中具有注册建造师贰级及以上证书（有效期内）或者具有工程建设类中级及以上职称证书的，每有一人得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(同一人员有2个证书只计取一次)</w:t>
            </w:r>
            <w:r>
              <w:rPr>
                <w:rFonts w:hint="eastAsia" w:ascii="宋体" w:hAnsi="宋体" w:eastAsia="宋体" w:cs="宋体"/>
                <w:color w:val="auto"/>
                <w:sz w:val="21"/>
                <w:szCs w:val="21"/>
                <w:highlight w:val="none"/>
                <w:lang w:val="en-US" w:eastAsia="zh-CN"/>
              </w:rPr>
              <w:t xml:space="preserve">。</w:t>
            </w:r>
            <w:r/>
          </w:p>
          <w:p>
            <w:pPr>
              <w:pStyle w:val="875"/>
              <w:ind w:firstLine="422"/>
              <w:rPr>
                <w:rFonts w:hint="eastAsia" w:ascii="宋体" w:hAnsi="宋体" w:cs="宋体"/>
                <w:b/>
                <w:bCs/>
                <w:color w:val="000000"/>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50"/>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08"/>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737" w:name="_Toc2747"/>
      <w:r/>
      <w:r/>
    </w:p>
    <w:p>
      <w:pPr>
        <w:rPr>
          <w:highlight w:val="none"/>
        </w:rPr>
      </w:pPr>
      <w:r>
        <w:rPr>
          <w:highlight w:val="none"/>
        </w:rPr>
      </w:r>
      <w:r/>
    </w:p>
    <w:p>
      <w:pPr>
        <w:pStyle w:val="80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737"/>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75"/>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732"/>
      <w:r/>
      <w:bookmarkEnd w:id="733"/>
      <w:r/>
      <w:bookmarkEnd w:id="734"/>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38" w:name="_Toc2818"/>
      <w:r/>
      <w:bookmarkStart w:id="739" w:name="_Toc24878535"/>
      <w:r/>
      <w:bookmarkStart w:id="740" w:name="_Toc120614284"/>
      <w:r/>
      <w:bookmarkStart w:id="741" w:name="_Toc513029281"/>
      <w:r/>
      <w:bookmarkStart w:id="742" w:name="_Toc49090582"/>
      <w:r/>
      <w:bookmarkStart w:id="743" w:name="_Toc26554103"/>
      <w:r/>
      <w:bookmarkStart w:id="744" w:name="_Toc120614291"/>
      <w:r/>
      <w:bookmarkStart w:id="745" w:name="_Toc22356583"/>
      <w:r/>
      <w:bookmarkStart w:id="746" w:name="_Toc23828483"/>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73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47" w:name="_Toc6743"/>
      <w:r>
        <w:rPr>
          <w:rFonts w:hint="eastAsia" w:ascii="宋体" w:hAnsi="宋体" w:eastAsia="宋体" w:cs="宋体"/>
          <w:b/>
          <w:bCs/>
          <w:i/>
          <w:color w:val="auto"/>
          <w:sz w:val="24"/>
          <w:szCs w:val="24"/>
          <w:highlight w:val="none"/>
          <w:u w:val="single"/>
        </w:rPr>
        <w:t xml:space="preserve">二、上一年度的财务状况报告</w:t>
      </w:r>
      <w:bookmarkEnd w:id="747"/>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8"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74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9"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749"/>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0"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750"/>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1"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75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2"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75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3" w:name="_Toc26018"/>
      <w:r>
        <w:rPr>
          <w:rFonts w:hint="eastAsia" w:ascii="宋体" w:hAnsi="宋体" w:eastAsia="宋体" w:cs="宋体"/>
          <w:b/>
          <w:bCs/>
          <w:i/>
          <w:iCs/>
          <w:color w:val="auto"/>
          <w:sz w:val="24"/>
          <w:szCs w:val="24"/>
          <w:highlight w:val="none"/>
          <w:u w:val="single"/>
        </w:rPr>
        <w:t xml:space="preserve">八、特定资格要求的证明文件</w:t>
      </w:r>
      <w:bookmarkEnd w:id="753"/>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4"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754"/>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755" w:name="_Toc625"/>
      <w:r>
        <w:rPr>
          <w:rFonts w:hint="eastAsia" w:ascii="宋体" w:hAnsi="宋体" w:eastAsia="宋体" w:cs="宋体"/>
          <w:b/>
          <w:bCs/>
          <w:i/>
          <w:iCs/>
          <w:color w:val="auto"/>
          <w:sz w:val="24"/>
          <w:szCs w:val="24"/>
          <w:highlight w:val="none"/>
          <w:u w:val="single"/>
        </w:rPr>
        <w:t xml:space="preserve">十、磋商响应函</w:t>
      </w:r>
      <w:bookmarkEnd w:id="755"/>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756"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756"/>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757"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757"/>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758"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758"/>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59"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75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60" w:name="_Hlt26955054"/>
      <w:r/>
      <w:bookmarkEnd w:id="760"/>
      <w:r/>
      <w:bookmarkStart w:id="761"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76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1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762" w:name="_Hlt26580838"/>
            <w:r/>
            <w:bookmarkEnd w:id="762"/>
            <w:r/>
            <w:bookmarkStart w:id="763" w:name="_Hlt26609391"/>
            <w:r/>
            <w:bookmarkEnd w:id="763"/>
            <w:r/>
            <w:bookmarkStart w:id="764" w:name="_Hlt26782999"/>
            <w:r/>
            <w:bookmarkEnd w:id="764"/>
            <w:r/>
            <w:bookmarkStart w:id="765" w:name="_Hlt26955064"/>
            <w:r/>
            <w:bookmarkEnd w:id="765"/>
            <w:r/>
            <w:bookmarkStart w:id="766" w:name="_Hlt26955056"/>
            <w:r/>
            <w:bookmarkEnd w:id="766"/>
            <w:r/>
            <w:bookmarkStart w:id="767" w:name="_Hlt26671343"/>
            <w:r/>
            <w:bookmarkEnd w:id="767"/>
            <w:r/>
            <w:bookmarkStart w:id="768" w:name="_Hlt26671372"/>
            <w:r/>
            <w:bookmarkEnd w:id="768"/>
            <w:r/>
            <w:bookmarkStart w:id="769" w:name="_Hlt24879081"/>
            <w:r/>
            <w:bookmarkEnd w:id="769"/>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770"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77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771"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77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1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81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bookmarkEnd w:id="739"/>
      <w:r/>
      <w:bookmarkEnd w:id="740"/>
      <w:r/>
      <w:bookmarkEnd w:id="741"/>
      <w:r/>
      <w:bookmarkEnd w:id="742"/>
      <w:r/>
      <w:bookmarkEnd w:id="743"/>
      <w:r/>
      <w:bookmarkEnd w:id="744"/>
      <w:r/>
      <w:bookmarkEnd w:id="745"/>
      <w:r/>
      <w:bookmarkEnd w:id="746"/>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75"/>
        <w:rPr>
          <w:color w:val="auto"/>
          <w:highlight w:val="none"/>
        </w:rPr>
      </w:pPr>
      <w:r>
        <w:rPr>
          <w:color w:val="auto"/>
          <w:highlight w:val="none"/>
        </w:rPr>
      </w:r>
      <w:r/>
    </w:p>
    <w:p>
      <w:pPr>
        <w:jc w:val="left"/>
        <w:rPr>
          <w:rFonts w:hint="eastAsia" w:ascii="宋体" w:hAnsi="宋体" w:eastAsia="宋体" w:cs="宋体"/>
          <w:b/>
          <w:bCs w:val="0"/>
          <w:i/>
          <w:color w:val="auto"/>
          <w:sz w:val="24"/>
          <w:szCs w:val="24"/>
          <w:highlight w:val="none"/>
          <w:u w:val="singl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val="en-US" w:eastAsia="zh-CN"/>
        </w:rPr>
        <w:t xml:space="preserve">二十</w:t>
      </w:r>
      <w:r>
        <w:rPr>
          <w:rFonts w:hint="eastAsia" w:ascii="宋体" w:hAnsi="宋体" w:eastAsia="宋体" w:cs="宋体"/>
          <w:b/>
          <w:bCs w:val="0"/>
          <w:i/>
          <w:color w:val="auto"/>
          <w:sz w:val="24"/>
          <w:szCs w:val="24"/>
          <w:highlight w:val="none"/>
          <w:u w:val="single"/>
          <w:lang w:eastAsia="zh-CN"/>
        </w:rPr>
        <w:t xml:space="preserve">、承诺函</w:t>
      </w:r>
      <w:r/>
    </w:p>
    <w:p>
      <w:pPr>
        <w:pStyle w:val="1132"/>
        <w:jc w:val="center"/>
        <w:rPr>
          <w:rFonts w:hint="eastAsia" w:ascii="宋体" w:hAnsi="宋体" w:cs="宋体"/>
          <w:i/>
          <w:iCs/>
          <w:sz w:val="24"/>
          <w:szCs w:val="24"/>
          <w:u w:val="none"/>
        </w:rPr>
      </w:pPr>
      <w:r>
        <w:rPr>
          <w:rFonts w:hint="eastAsia" w:ascii="宋体" w:hAnsi="宋体" w:cs="宋体"/>
          <w:b/>
          <w:i/>
          <w:iCs/>
          <w:sz w:val="24"/>
          <w:szCs w:val="24"/>
          <w:u w:val="none"/>
          <w:lang w:eastAsia="zh-CN"/>
        </w:rPr>
        <w:t xml:space="preserve">项目负责人无在建等</w:t>
      </w:r>
      <w:r>
        <w:rPr>
          <w:rFonts w:hint="eastAsia" w:ascii="宋体" w:hAnsi="宋体" w:cs="宋体"/>
          <w:b/>
          <w:i/>
          <w:iCs/>
          <w:sz w:val="24"/>
          <w:szCs w:val="24"/>
          <w:u w:val="none"/>
        </w:rPr>
        <w:t xml:space="preserve">承诺书</w:t>
      </w:r>
      <w:r/>
    </w:p>
    <w:p>
      <w:pPr>
        <w:keepLines w:val="0"/>
        <w:keepNext w:val="0"/>
        <w:pageBreakBefore w:val="0"/>
        <w:spacing w:line="240" w:lineRule="exact"/>
        <w:widowControl w:val="off"/>
        <w:rPr>
          <w:rFonts w:hint="eastAsia" w:ascii="宋体" w:hAnsi="宋体" w:cs="宋体"/>
          <w:szCs w:val="21"/>
          <w:u w:val="single"/>
        </w:rPr>
      </w:pPr>
      <w:r>
        <w:rPr>
          <w:rFonts w:hint="eastAsia" w:ascii="宋体" w:hAnsi="宋体" w:cs="宋体"/>
          <w:szCs w:val="21"/>
          <w:u w:val="single"/>
        </w:rPr>
      </w:r>
      <w:r/>
    </w:p>
    <w:p>
      <w:pPr>
        <w:spacing w:line="336" w:lineRule="auto"/>
        <w:rPr>
          <w:rFonts w:ascii="宋体" w:hAnsi="宋体" w:cs="宋体"/>
          <w:szCs w:val="21"/>
          <w:u w:val="single"/>
        </w:rPr>
      </w:pPr>
      <w:r>
        <w:rPr>
          <w:rFonts w:hint="eastAsia" w:ascii="宋体" w:hAnsi="宋体" w:cs="宋体"/>
          <w:szCs w:val="21"/>
          <w:u w:val="single"/>
        </w:rPr>
        <w:t xml:space="preserve">致：           </w:t>
      </w:r>
      <w:r/>
    </w:p>
    <w:p>
      <w:pPr>
        <w:ind w:firstLine="420"/>
        <w:spacing w:line="336" w:lineRule="auto"/>
        <w:rPr>
          <w:rFonts w:ascii="宋体" w:hAnsi="宋体" w:cs="宋体"/>
          <w:szCs w:val="21"/>
        </w:rPr>
      </w:pPr>
      <w:r>
        <w:rPr>
          <w:rFonts w:hint="eastAsia" w:ascii="宋体" w:hAnsi="宋体" w:cs="宋体"/>
          <w:szCs w:val="21"/>
        </w:rPr>
        <w:t xml:space="preserve">我公司参与贵单位</w:t>
      </w:r>
      <w:r>
        <w:rPr>
          <w:rFonts w:hint="eastAsia" w:ascii="宋体" w:hAnsi="宋体" w:cs="宋体"/>
          <w:szCs w:val="21"/>
          <w:u w:val="single"/>
        </w:rPr>
        <w:t xml:space="preserve">  （标段名称）  </w:t>
      </w:r>
      <w:r>
        <w:rPr>
          <w:rFonts w:hint="eastAsia" w:ascii="宋体" w:hAnsi="宋体" w:cs="宋体"/>
          <w:szCs w:val="21"/>
        </w:rPr>
        <w:t xml:space="preserve">工程项目的投标工作，我单位郑重承诺：</w:t>
      </w:r>
      <w:r/>
    </w:p>
    <w:p>
      <w:pPr>
        <w:ind w:firstLine="420"/>
        <w:spacing w:line="336" w:lineRule="auto"/>
        <w:rPr>
          <w:rFonts w:ascii="宋体" w:hAnsi="宋体" w:cs="宋体"/>
          <w:szCs w:val="21"/>
        </w:rPr>
      </w:pPr>
      <w:r>
        <w:rPr>
          <w:rFonts w:hint="eastAsia" w:ascii="宋体" w:hAnsi="宋体" w:cs="宋体"/>
          <w:szCs w:val="21"/>
        </w:rPr>
        <w:t xml:space="preserve">1、所报项目负责人</w:t>
      </w:r>
      <w:r>
        <w:rPr>
          <w:rFonts w:hint="eastAsia" w:ascii="宋体" w:hAnsi="宋体" w:cs="宋体"/>
          <w:szCs w:val="21"/>
          <w:u w:val="single"/>
        </w:rPr>
        <w:t xml:space="preserve">         </w:t>
      </w:r>
      <w:r>
        <w:rPr>
          <w:rFonts w:hint="eastAsia" w:ascii="宋体" w:hAnsi="宋体" w:cs="宋体"/>
          <w:szCs w:val="21"/>
        </w:rPr>
        <w:t xml:space="preserve">同志无在建工程，项目负责人按规定到岗履职；若我公司作出虚假承诺，则取消其中标资格，由此产生的一切后果由我单位自行承担；</w:t>
      </w:r>
      <w:r/>
    </w:p>
    <w:p>
      <w:pPr>
        <w:ind w:firstLine="420"/>
        <w:spacing w:line="336" w:lineRule="auto"/>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、我单位及项目经理未被行政监督主管部门限制在招标项目所在地投标。</w:t>
      </w:r>
      <w:r/>
    </w:p>
    <w:p>
      <w:pPr>
        <w:ind w:firstLine="420"/>
        <w:spacing w:line="336"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、将委托授权项目负责人参与</w:t>
      </w:r>
      <w:r>
        <w:rPr>
          <w:rFonts w:hint="eastAsia" w:ascii="宋体" w:hAnsi="宋体" w:cs="宋体"/>
          <w:szCs w:val="21"/>
          <w:lang w:eastAsia="zh-CN"/>
        </w:rPr>
        <w:t xml:space="preserve">磋商</w:t>
      </w:r>
      <w:r>
        <w:rPr>
          <w:rFonts w:hint="eastAsia" w:ascii="宋体" w:hAnsi="宋体" w:cs="宋体"/>
          <w:szCs w:val="21"/>
        </w:rPr>
        <w:t xml:space="preserve">全过程（含</w:t>
      </w:r>
      <w:r>
        <w:rPr>
          <w:rFonts w:hint="eastAsia" w:ascii="宋体" w:hAnsi="宋体" w:cs="宋体"/>
          <w:szCs w:val="21"/>
          <w:lang w:eastAsia="zh-CN"/>
        </w:rPr>
        <w:t xml:space="preserve">磋商、</w:t>
      </w:r>
      <w:r>
        <w:rPr>
          <w:rFonts w:hint="eastAsia" w:ascii="宋体" w:hAnsi="宋体" w:cs="宋体"/>
          <w:szCs w:val="21"/>
        </w:rPr>
        <w:t xml:space="preserve">异议、投诉环节）工作。</w:t>
      </w:r>
      <w:r>
        <w:rPr>
          <w:rFonts w:hint="eastAsia" w:ascii="宋体" w:hAnsi="宋体" w:cs="宋体"/>
          <w:szCs w:val="21"/>
          <w:lang w:eastAsia="zh-CN"/>
        </w:rPr>
        <w:t xml:space="preserve">上述过程中</w:t>
      </w:r>
      <w:r>
        <w:rPr>
          <w:rFonts w:hint="eastAsia" w:ascii="宋体" w:hAnsi="宋体" w:cs="宋体"/>
          <w:szCs w:val="21"/>
        </w:rPr>
        <w:t xml:space="preserve">如非该委托授权代理人参与，则视为未实质响应招标文件要求；后期如发生异议或投诉，也将授权投标项目负责人本人参与处理，本单位法定代表人将在异议或投诉书中真实署名并实际参与</w:t>
      </w:r>
      <w:r>
        <w:rPr>
          <w:rFonts w:hint="eastAsia" w:ascii="宋体" w:hAnsi="宋体" w:cs="宋体"/>
          <w:szCs w:val="21"/>
          <w:lang w:eastAsia="zh-CN"/>
        </w:rPr>
        <w:t xml:space="preserve">采购人</w:t>
      </w:r>
      <w:r>
        <w:rPr>
          <w:rFonts w:hint="eastAsia" w:ascii="宋体" w:hAnsi="宋体" w:cs="宋体"/>
          <w:szCs w:val="21"/>
        </w:rPr>
        <w:t xml:space="preserve">或监管部门的质询，否则，异议或投诉不成立；我单位不会对此提起行政复议或行政诉讼。</w:t>
      </w:r>
      <w:r/>
    </w:p>
    <w:p>
      <w:pPr>
        <w:ind w:firstLine="420"/>
        <w:spacing w:line="336" w:lineRule="auto"/>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w:t>
      </w:r>
      <w:r>
        <w:rPr>
          <w:rFonts w:hint="eastAsia" w:ascii="宋体" w:hAnsi="宋体" w:cs="宋体"/>
          <w:szCs w:val="21"/>
          <w:lang w:eastAsia="zh-CN"/>
        </w:rPr>
        <w:t xml:space="preserve">磋商</w:t>
      </w:r>
      <w:r>
        <w:rPr>
          <w:rFonts w:hint="eastAsia" w:ascii="宋体" w:hAnsi="宋体" w:cs="宋体"/>
          <w:szCs w:val="21"/>
        </w:rPr>
        <w:t xml:space="preserve">全过程（含异议、投诉环节）出示的文件资料均是真实、有效的。</w:t>
      </w:r>
      <w:r/>
    </w:p>
    <w:p>
      <w:pPr>
        <w:ind w:firstLine="420"/>
        <w:spacing w:line="336"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、未在“信用中国”被列为失信被执行人。</w:t>
      </w:r>
      <w:r/>
    </w:p>
    <w:p>
      <w:pPr>
        <w:ind w:firstLine="420"/>
        <w:spacing w:line="336"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cs="宋体"/>
          <w:szCs w:val="21"/>
        </w:rPr>
        <w:t xml:space="preserve">、参与本</w:t>
      </w:r>
      <w:r>
        <w:rPr>
          <w:rFonts w:hint="eastAsia" w:ascii="宋体" w:hAnsi="宋体" w:cs="宋体"/>
          <w:szCs w:val="21"/>
          <w:lang w:eastAsia="zh-CN"/>
        </w:rPr>
        <w:t xml:space="preserve">磋商</w:t>
      </w:r>
      <w:r>
        <w:rPr>
          <w:rFonts w:hint="eastAsia" w:ascii="宋体" w:hAnsi="宋体" w:cs="宋体"/>
          <w:szCs w:val="21"/>
        </w:rPr>
        <w:t xml:space="preserve">标段没有弄虚作假或串通投标（或视为串通投标）等违法行为</w:t>
      </w:r>
      <w:r>
        <w:rPr>
          <w:rFonts w:hint="eastAsia" w:ascii="宋体" w:hAnsi="宋体" w:cs="宋体"/>
          <w:szCs w:val="21"/>
          <w:lang w:eastAsia="zh-CN"/>
        </w:rPr>
        <w:t xml:space="preserve">。</w:t>
      </w:r>
      <w:r/>
    </w:p>
    <w:p>
      <w:pPr>
        <w:ind w:firstLine="420"/>
        <w:spacing w:line="336" w:lineRule="auto"/>
        <w:rPr>
          <w:rFonts w:ascii="宋体" w:hAnsi="宋体" w:cs="宋体"/>
          <w:szCs w:val="21"/>
        </w:rPr>
      </w:pPr>
      <w:r>
        <w:rPr>
          <w:rFonts w:hint="eastAsia" w:ascii="宋体" w:hAnsi="宋体" w:cs="宋体"/>
          <w:szCs w:val="21"/>
        </w:rPr>
        <w:t xml:space="preserve">综上，我单位承诺：参与本标段如有弄虚作假或串通投标（或视为串通投标）等违法行为，愿意无条件接受被取消后审（合格）资格、投标或中标（候选人）资格、履约保证金不予退还、合同解除及清除出场，一切损失由我单位自行承担，同时愿意接受相关处罚，特此承诺！</w:t>
      </w:r>
      <w:r/>
    </w:p>
    <w:p>
      <w:pPr>
        <w:ind w:firstLine="5040"/>
        <w:spacing w:line="336" w:lineRule="auto"/>
        <w:rPr>
          <w:rFonts w:hint="eastAsia" w:ascii="宋体" w:hAnsi="宋体" w:cs="宋体"/>
          <w:szCs w:val="21"/>
        </w:rPr>
      </w:pPr>
      <w:r>
        <w:rPr>
          <w:rFonts w:hint="eastAsia" w:ascii="宋体" w:hAnsi="宋体" w:cs="宋体"/>
          <w:szCs w:val="21"/>
        </w:rPr>
      </w:r>
      <w:r/>
    </w:p>
    <w:p>
      <w:pPr>
        <w:ind w:firstLine="5040"/>
        <w:spacing w:line="336" w:lineRule="auto"/>
        <w:rPr>
          <w:rFonts w:ascii="宋体" w:hAnsi="宋体" w:cs="宋体"/>
          <w:szCs w:val="21"/>
        </w:rPr>
      </w:pPr>
      <w:r>
        <w:rPr>
          <w:rFonts w:hint="eastAsia" w:ascii="宋体" w:hAnsi="宋体" w:cs="宋体"/>
          <w:szCs w:val="21"/>
        </w:rPr>
        <w:t xml:space="preserve">投标人：（盖章）</w:t>
      </w:r>
      <w:r/>
    </w:p>
    <w:p>
      <w:pPr>
        <w:ind w:firstLine="5040"/>
        <w:spacing w:line="336" w:lineRule="auto"/>
        <w:rPr>
          <w:rFonts w:ascii="宋体" w:hAnsi="宋体" w:cs="宋体"/>
          <w:szCs w:val="21"/>
        </w:rPr>
      </w:pPr>
      <w:r>
        <w:rPr>
          <w:rFonts w:hint="eastAsia" w:ascii="宋体" w:hAnsi="宋体" w:cs="宋体"/>
          <w:szCs w:val="21"/>
        </w:rPr>
        <w:t xml:space="preserve">法定代表人：（签字或盖章）</w:t>
      </w:r>
      <w:r/>
    </w:p>
    <w:p>
      <w:pPr>
        <w:ind w:firstLine="5040"/>
        <w:spacing w:line="336" w:lineRule="auto"/>
        <w:rPr>
          <w:rFonts w:ascii="宋体" w:hAnsi="宋体" w:cs="宋体"/>
          <w:szCs w:val="21"/>
        </w:rPr>
      </w:pPr>
      <w:r>
        <w:rPr>
          <w:rFonts w:hint="eastAsia" w:ascii="宋体" w:hAnsi="宋体" w:cs="宋体"/>
          <w:szCs w:val="21"/>
        </w:rPr>
        <w:t xml:space="preserve">项目负责人：（签字）</w:t>
      </w:r>
      <w:r/>
    </w:p>
    <w:p>
      <w:pPr>
        <w:ind w:firstLine="5040"/>
        <w:spacing w:line="336" w:lineRule="auto"/>
        <w:rPr>
          <w:rFonts w:ascii="宋体" w:hAnsi="宋体" w:cs="宋体"/>
          <w:szCs w:val="21"/>
        </w:rPr>
      </w:pPr>
      <w:r>
        <w:rPr>
          <w:rFonts w:hint="eastAsia" w:ascii="宋体" w:hAnsi="宋体" w:cs="宋体"/>
          <w:szCs w:val="21"/>
        </w:rPr>
        <w:t xml:space="preserve">项目负责人证书编号：</w:t>
      </w:r>
      <w:r/>
    </w:p>
    <w:p>
      <w:pPr>
        <w:ind w:firstLine="5040"/>
        <w:spacing w:line="336" w:lineRule="auto"/>
        <w:rPr>
          <w:szCs w:val="21"/>
        </w:rPr>
      </w:pPr>
      <w:r>
        <w:rPr>
          <w:rFonts w:hint="eastAsia" w:ascii="宋体" w:hAnsi="宋体" w:cs="宋体"/>
          <w:szCs w:val="21"/>
        </w:rPr>
        <w:t xml:space="preserve">日期：  年  月  日</w:t>
      </w:r>
      <w:r/>
    </w:p>
    <w:p>
      <w:pPr>
        <w:jc w:val="left"/>
        <w:widowControl/>
        <w:rPr>
          <w:rFonts w:hint="eastAsia" w:ascii="宋体" w:hAnsi="宋体" w:cs="宋体"/>
          <w:b/>
          <w:bCs/>
          <w:szCs w:val="21"/>
        </w:rPr>
      </w:pPr>
      <w:r>
        <w:rPr>
          <w:rFonts w:hint="eastAsia" w:ascii="宋体" w:hAnsi="宋体" w:cs="宋体"/>
          <w:b/>
          <w:bCs/>
          <w:szCs w:val="21"/>
        </w:rPr>
      </w:r>
      <w:r/>
    </w:p>
    <w:p>
      <w:pPr>
        <w:ind w:firstLine="211"/>
        <w:jc w:val="left"/>
        <w:widowControl/>
        <w:rPr>
          <w:b/>
          <w:bCs/>
        </w:rPr>
      </w:pPr>
      <w:r>
        <w:rPr>
          <w:rFonts w:hint="eastAsia" w:ascii="宋体" w:hAnsi="宋体" w:cs="宋体"/>
          <w:b/>
          <w:bCs/>
          <w:szCs w:val="21"/>
        </w:rPr>
        <w:t xml:space="preserve">说明：项目负责人签字一栏可将本表打印签字并扫描上传到</w:t>
      </w:r>
      <w:r>
        <w:rPr>
          <w:rFonts w:hint="eastAsia" w:ascii="宋体" w:hAnsi="宋体" w:cs="宋体"/>
          <w:b/>
          <w:bCs/>
          <w:szCs w:val="21"/>
          <w:lang w:eastAsia="zh-CN"/>
        </w:rPr>
        <w:t xml:space="preserve">磋商</w:t>
      </w:r>
      <w:r>
        <w:rPr>
          <w:rFonts w:hint="eastAsia" w:ascii="宋体" w:hAnsi="宋体" w:cs="宋体"/>
          <w:b/>
          <w:bCs/>
          <w:szCs w:val="21"/>
        </w:rPr>
        <w:t xml:space="preserve">文件其他文件中。</w:t>
      </w:r>
      <w:r/>
    </w:p>
    <w:p>
      <w:pPr>
        <w:pStyle w:val="1131"/>
        <w:rPr>
          <w:rFonts w:hint="eastAsia" w:ascii="宋体" w:hAnsi="宋体" w:eastAsia="宋体" w:cs="宋体"/>
          <w:sz w:val="21"/>
          <w:szCs w:val="21"/>
        </w:rPr>
        <w:outlineLvl w:val="2"/>
      </w:pPr>
      <w:r>
        <w:rPr>
          <w:rFonts w:hint="eastAsia" w:ascii="宋体" w:hAnsi="宋体" w:eastAsia="宋体" w:cs="宋体"/>
          <w:sz w:val="21"/>
          <w:szCs w:val="21"/>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val="en-US" w:eastAsia="zh-CN"/>
        </w:rPr>
        <w:t xml:space="preserve">二十</w:t>
      </w:r>
      <w:r>
        <w:rPr>
          <w:rFonts w:hint="eastAsia" w:ascii="宋体" w:hAnsi="宋体" w:cs="宋体"/>
          <w:b/>
          <w:bCs w:val="0"/>
          <w:i/>
          <w:color w:val="auto"/>
          <w:sz w:val="24"/>
          <w:szCs w:val="24"/>
          <w:highlight w:val="none"/>
          <w:u w:val="single"/>
          <w:lang w:val="en-US" w:eastAsia="zh-CN"/>
        </w:rPr>
        <w:t xml:space="preserve">一</w:t>
      </w:r>
      <w:r>
        <w:rPr>
          <w:rFonts w:hint="eastAsia" w:ascii="宋体" w:hAnsi="宋体" w:eastAsia="宋体" w:cs="宋体"/>
          <w:b/>
          <w:bCs w:val="0"/>
          <w:i/>
          <w:color w:val="auto"/>
          <w:sz w:val="24"/>
          <w:szCs w:val="24"/>
          <w:highlight w:val="none"/>
          <w:u w:val="single"/>
          <w:lang w:eastAsia="zh-CN"/>
        </w:rPr>
        <w:t xml:space="preserve">、</w:t>
      </w:r>
      <w:r>
        <w:rPr>
          <w:rFonts w:hint="eastAsia" w:ascii="宋体" w:hAnsi="宋体" w:eastAsia="宋体" w:cs="宋体"/>
          <w:b/>
          <w:bCs w:val="0"/>
          <w:i/>
          <w:color w:val="auto"/>
          <w:sz w:val="24"/>
          <w:szCs w:val="24"/>
          <w:highlight w:val="none"/>
          <w:u w:val="single"/>
          <w:lang w:val="en-US" w:eastAsia="zh-CN"/>
        </w:rPr>
        <w:t xml:space="preserve">不拖欠农民工工资</w:t>
      </w:r>
      <w:r>
        <w:rPr>
          <w:rFonts w:hint="eastAsia" w:ascii="宋体" w:hAnsi="宋体" w:eastAsia="宋体" w:cs="宋体"/>
          <w:b/>
          <w:bCs w:val="0"/>
          <w:i/>
          <w:color w:val="auto"/>
          <w:sz w:val="24"/>
          <w:szCs w:val="24"/>
          <w:highlight w:val="none"/>
          <w:u w:val="single"/>
          <w:lang w:eastAsia="zh-CN"/>
        </w:rPr>
        <w:t xml:space="preserve">承诺函</w:t>
      </w:r>
      <w:r/>
    </w:p>
    <w:p>
      <w:pPr>
        <w:ind w:left="1" w:firstLine="422"/>
        <w:jc w:val="center"/>
        <w:spacing w:line="360" w:lineRule="auto"/>
        <w:rPr>
          <w:rFonts w:hint="eastAsia" w:ascii="宋体" w:hAnsi="宋体" w:cs="宋体"/>
          <w:b/>
          <w:bCs/>
          <w:i/>
          <w:iCs/>
          <w:highlight w:val="none"/>
          <w:lang w:bidi="en-US"/>
        </w:rPr>
      </w:pPr>
      <w:r>
        <w:rPr>
          <w:rFonts w:hint="eastAsia" w:ascii="宋体" w:hAnsi="宋体" w:cs="宋体"/>
          <w:b/>
          <w:bCs/>
          <w:i/>
          <w:iCs/>
          <w:highlight w:val="none"/>
          <w:lang w:bidi="en-US"/>
        </w:rPr>
      </w:r>
      <w:r/>
    </w:p>
    <w:p>
      <w:pPr>
        <w:ind w:left="1" w:firstLine="422"/>
        <w:jc w:val="center"/>
        <w:spacing w:line="360" w:lineRule="auto"/>
        <w:rPr>
          <w:rFonts w:hint="eastAsia" w:ascii="宋体" w:hAnsi="宋体" w:eastAsia="宋体" w:cs="宋体"/>
          <w:b/>
          <w:bCs/>
          <w:i/>
          <w:iCs/>
          <w:highlight w:val="none"/>
          <w:lang w:eastAsia="zh-CN" w:bidi="en-US"/>
        </w:rPr>
      </w:pPr>
      <w:r>
        <w:rPr>
          <w:rFonts w:hint="eastAsia" w:ascii="宋体" w:hAnsi="宋体" w:cs="宋体"/>
          <w:b/>
          <w:bCs/>
          <w:i/>
          <w:iCs/>
          <w:highlight w:val="none"/>
          <w:lang w:bidi="en-US"/>
        </w:rPr>
        <w:t xml:space="preserve">不拖欠农民工工资承诺</w:t>
      </w:r>
      <w:r>
        <w:rPr>
          <w:rFonts w:hint="eastAsia" w:ascii="宋体" w:hAnsi="宋体" w:cs="宋体"/>
          <w:b/>
          <w:bCs/>
          <w:i/>
          <w:iCs/>
          <w:highlight w:val="none"/>
          <w:lang w:val="en-US" w:eastAsia="zh-CN" w:bidi="en-US"/>
        </w:rPr>
        <w:t xml:space="preserve">函</w:t>
      </w:r>
      <w:r/>
    </w:p>
    <w:p>
      <w:pPr>
        <w:ind w:left="1334" w:hanging="1334"/>
        <w:spacing w:line="360" w:lineRule="auto"/>
        <w:rPr>
          <w:rFonts w:ascii="宋体" w:hAnsi="宋体" w:cs="宋体"/>
          <w:b/>
          <w:highlight w:val="none"/>
        </w:rPr>
      </w:pPr>
      <w:r>
        <w:rPr>
          <w:rFonts w:ascii="宋体" w:hAnsi="宋体" w:cs="宋体"/>
          <w:b/>
          <w:highlight w:val="none"/>
        </w:rPr>
      </w:r>
      <w:r/>
    </w:p>
    <w:p>
      <w:pPr>
        <w:spacing w:line="600" w:lineRule="exact"/>
        <w:rPr>
          <w:sz w:val="21"/>
          <w:szCs w:val="21"/>
          <w:highlight w:val="none"/>
        </w:rPr>
      </w:pPr>
      <w:r>
        <w:rPr>
          <w:sz w:val="21"/>
          <w:szCs w:val="21"/>
          <w:highlight w:val="none"/>
          <w:u w:val="single"/>
        </w:rPr>
        <w:t xml:space="preserve">致：（采购人名称）：</w:t>
      </w:r>
      <w:r/>
    </w:p>
    <w:p>
      <w:pPr>
        <w:pStyle w:val="110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0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云台农场公安派出所营房建设项目</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0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60"/>
      </w:rPr>
      <w:framePr w:wrap="around" w:vAnchor="text" w:hAnchor="margin" w:xAlign="center" w:y="1"/>
    </w:pPr>
    <w:r>
      <w:fldChar w:fldCharType="begin"/>
    </w:r>
    <w:r>
      <w:rPr>
        <w:rStyle w:val="860"/>
      </w:rPr>
      <w:instrText xml:space="preserve"> PAGE   \* MERGEFORMAT </w:instrText>
    </w:r>
    <w:r>
      <w:fldChar w:fldCharType="separate"/>
    </w:r>
    <w:r>
      <w:rPr>
        <w:rStyle w:val="860"/>
        <w:lang w:val="zh-CN"/>
      </w:rPr>
      <w:t xml:space="preserve">55</w:t>
    </w:r>
    <w:r>
      <w:fldChar w:fldCharType="end"/>
    </w:r>
    <w:r/>
  </w:p>
  <w:p>
    <w:pPr>
      <w:pStyle w:val="8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3"/>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60"/>
      </w:rPr>
      <w:framePr w:wrap="around" w:vAnchor="text" w:hAnchor="margin" w:xAlign="center" w:y="1"/>
    </w:pPr>
    <w:r>
      <w:fldChar w:fldCharType="begin"/>
    </w:r>
    <w:r>
      <w:rPr>
        <w:rStyle w:val="860"/>
      </w:rPr>
      <w:instrText xml:space="preserve"> PAGE   \* MERGEFORMAT </w:instrText>
    </w:r>
    <w:r>
      <w:fldChar w:fldCharType="separate"/>
    </w:r>
    <w:r>
      <w:rPr>
        <w:rStyle w:val="860"/>
        <w:lang w:val="zh-CN"/>
      </w:rPr>
      <w:t xml:space="preserve">55</w:t>
    </w:r>
    <w:r>
      <w:fldChar w:fldCharType="end"/>
    </w:r>
    <w:r/>
  </w:p>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pPr>
    <w:r>
      <w:rPr>
        <w:rFonts w:hint="eastAsia"/>
        <w:i/>
        <w:color w:val="000000"/>
        <w:lang w:eastAsia="zh-CN"/>
      </w:rPr>
      <w:t xml:space="preserve">云台农场公安派出所营房建设项目</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pPr>
    <w:r>
      <w:rPr>
        <w:rFonts w:hint="eastAsia"/>
        <w:i/>
        <w:color w:val="000000"/>
        <w:lang w:eastAsia="zh-CN"/>
      </w:rPr>
      <w:t xml:space="preserve">云台农场公安派出所营房建设项目</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left" w:pos="3480" w:leader="none"/>
        <w:tab w:val="clear" w:pos="4153" w:leader="none"/>
        <w:tab w:val="clear" w:pos="8306" w:leader="none"/>
      </w:tabs>
      <w:rPr>
        <w:i/>
        <w:color w:val="000000"/>
      </w:rPr>
    </w:pPr>
    <w:r>
      <w:rPr>
        <w:rFonts w:hint="eastAsia"/>
        <w:i/>
        <w:color w:val="000000"/>
        <w:lang w:eastAsia="zh-CN"/>
      </w:rPr>
      <w:t xml:space="preserve">云台农场公安派出所营房建设项目竞争性磋商文件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left" w:pos="3480" w:leader="none"/>
        <w:tab w:val="clear" w:pos="4153" w:leader="none"/>
        <w:tab w:val="clear" w:pos="8306" w:leader="none"/>
      </w:tabs>
      <w:rPr>
        <w:i/>
        <w:color w:val="000000"/>
      </w:rPr>
    </w:pPr>
    <w:r>
      <w:rPr>
        <w:rFonts w:hint="eastAsia"/>
        <w:i/>
        <w:color w:val="000000"/>
        <w:lang w:eastAsia="zh-CN"/>
      </w:rPr>
      <w:t xml:space="preserve">云台农场公安派出所营房建设项目</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name w:val="Heading 1"/>
    <w:basedOn w:val="807"/>
    <w:next w:val="807"/>
    <w:link w:val="877"/>
    <w:uiPriority w:val="0"/>
    <w:qFormat/>
    <w:pPr>
      <w:keepNext/>
      <w:outlineLvl w:val="0"/>
    </w:pPr>
    <w:rPr>
      <w:rFonts w:ascii="楷体_GB2312" w:eastAsia="楷体_GB2312"/>
      <w:sz w:val="28"/>
      <w:szCs w:val="20"/>
    </w:rPr>
  </w:style>
  <w:style w:type="paragraph" w:styleId="809">
    <w:name w:val="Heading 2"/>
    <w:basedOn w:val="807"/>
    <w:next w:val="807"/>
    <w:link w:val="876"/>
    <w:uiPriority w:val="0"/>
    <w:qFormat/>
    <w:pPr>
      <w:jc w:val="center"/>
      <w:keepLines/>
      <w:keepNext/>
      <w:spacing w:before="260" w:after="260" w:line="415" w:lineRule="auto"/>
      <w:outlineLvl w:val="1"/>
    </w:pPr>
    <w:rPr>
      <w:rFonts w:ascii="Arial" w:hAnsi="Arial" w:eastAsia="幼圆"/>
      <w:b/>
      <w:sz w:val="44"/>
      <w:szCs w:val="20"/>
    </w:rPr>
  </w:style>
  <w:style w:type="paragraph" w:styleId="810">
    <w:name w:val="Heading 3"/>
    <w:basedOn w:val="807"/>
    <w:next w:val="807"/>
    <w:link w:val="1039"/>
    <w:uiPriority w:val="0"/>
    <w:qFormat/>
    <w:pPr>
      <w:keepLines/>
      <w:keepNext/>
      <w:spacing w:before="260" w:after="260" w:line="415" w:lineRule="auto"/>
      <w:outlineLvl w:val="2"/>
    </w:pPr>
    <w:rPr>
      <w:b/>
      <w:sz w:val="32"/>
      <w:szCs w:val="20"/>
    </w:rPr>
  </w:style>
  <w:style w:type="paragraph" w:styleId="811">
    <w:name w:val="Heading 4"/>
    <w:basedOn w:val="807"/>
    <w:next w:val="807"/>
    <w:link w:val="1037"/>
    <w:uiPriority w:val="0"/>
    <w:qFormat/>
    <w:pPr>
      <w:keepLines/>
      <w:keepNext/>
      <w:spacing w:before="280" w:after="290" w:line="376" w:lineRule="auto"/>
      <w:outlineLvl w:val="3"/>
    </w:pPr>
    <w:rPr>
      <w:rFonts w:ascii="Arial" w:hAnsi="Arial" w:eastAsia="黑体"/>
      <w:b/>
      <w:bCs/>
      <w:sz w:val="28"/>
      <w:szCs w:val="28"/>
    </w:rPr>
  </w:style>
  <w:style w:type="paragraph" w:styleId="812">
    <w:name w:val="Heading 5"/>
    <w:basedOn w:val="807"/>
    <w:next w:val="807"/>
    <w:link w:val="1034"/>
    <w:uiPriority w:val="0"/>
    <w:qFormat/>
    <w:pPr>
      <w:keepNext/>
      <w:outlineLvl w:val="4"/>
    </w:pPr>
    <w:rPr>
      <w:rFonts w:ascii="宋体"/>
      <w:b/>
      <w:bCs/>
    </w:rPr>
  </w:style>
  <w:style w:type="paragraph" w:styleId="813">
    <w:name w:val="Heading 6"/>
    <w:basedOn w:val="807"/>
    <w:next w:val="807"/>
    <w:link w:val="883"/>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885"/>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886"/>
    <w:uiPriority w:val="9"/>
    <w:unhideWhenUsed/>
    <w:qFormat/>
    <w:pPr>
      <w:keepLines/>
      <w:keepNext/>
      <w:spacing w:before="320" w:after="200"/>
      <w:outlineLvl w:val="8"/>
    </w:pPr>
    <w:rPr>
      <w:rFonts w:ascii="Arial" w:hAnsi="Arial" w:eastAsia="Arial" w:cs="Arial"/>
      <w:i/>
      <w:iCs/>
      <w:sz w:val="21"/>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toc 7"/>
    <w:basedOn w:val="807"/>
    <w:next w:val="807"/>
    <w:uiPriority w:val="0"/>
    <w:qFormat/>
    <w:pPr>
      <w:ind w:left="1200"/>
    </w:pPr>
  </w:style>
  <w:style w:type="paragraph" w:styleId="820">
    <w:name w:val="Normal Indent"/>
    <w:basedOn w:val="807"/>
    <w:next w:val="807"/>
    <w:uiPriority w:val="0"/>
    <w:qFormat/>
    <w:pPr>
      <w:ind w:firstLine="420"/>
    </w:pPr>
    <w:rPr>
      <w:szCs w:val="20"/>
    </w:rPr>
  </w:style>
  <w:style w:type="paragraph" w:styleId="821">
    <w:name w:val="Caption"/>
    <w:basedOn w:val="807"/>
    <w:next w:val="8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Document Map"/>
    <w:basedOn w:val="807"/>
    <w:link w:val="1040"/>
    <w:uiPriority w:val="0"/>
    <w:qFormat/>
    <w:pPr>
      <w:shd w:val="clear" w:color="auto" w:fill="000080"/>
    </w:pPr>
  </w:style>
  <w:style w:type="paragraph" w:styleId="823">
    <w:name w:val="annotation text"/>
    <w:basedOn w:val="807"/>
    <w:link w:val="1032"/>
    <w:uiPriority w:val="0"/>
    <w:qFormat/>
    <w:pPr>
      <w:jc w:val="left"/>
    </w:pPr>
  </w:style>
  <w:style w:type="paragraph" w:styleId="824">
    <w:name w:val="Body Text 3"/>
    <w:basedOn w:val="807"/>
    <w:link w:val="1048"/>
    <w:uiPriority w:val="0"/>
    <w:qFormat/>
    <w:rPr>
      <w:rFonts w:ascii="仿宋_GB2312" w:eastAsia="仿宋_GB2312"/>
      <w:sz w:val="32"/>
      <w:szCs w:val="20"/>
    </w:rPr>
  </w:style>
  <w:style w:type="paragraph" w:styleId="825">
    <w:name w:val="Body Text"/>
    <w:basedOn w:val="807"/>
    <w:link w:val="1050"/>
    <w:uiPriority w:val="0"/>
    <w:qFormat/>
    <w:rPr>
      <w:rFonts w:ascii="楷体_GB2312" w:eastAsia="楷体_GB2312"/>
      <w:sz w:val="28"/>
      <w:szCs w:val="20"/>
    </w:rPr>
  </w:style>
  <w:style w:type="paragraph" w:styleId="826">
    <w:name w:val="Body Text Indent"/>
    <w:basedOn w:val="807"/>
    <w:next w:val="827"/>
    <w:link w:val="1044"/>
    <w:uiPriority w:val="0"/>
    <w:qFormat/>
    <w:pPr>
      <w:ind w:firstLine="645"/>
    </w:pPr>
    <w:rPr>
      <w:rFonts w:ascii="楷体_GB2312" w:eastAsia="楷体_GB2312"/>
      <w:sz w:val="32"/>
      <w:szCs w:val="20"/>
    </w:rPr>
  </w:style>
  <w:style w:type="paragraph" w:styleId="827">
    <w:name w:val="envelope return"/>
    <w:basedOn w:val="807"/>
    <w:uiPriority w:val="99"/>
    <w:unhideWhenUsed/>
    <w:qFormat/>
    <w:rPr>
      <w:rFonts w:ascii="Arial" w:hAnsi="Arial" w:cs="Arial"/>
    </w:rPr>
  </w:style>
  <w:style w:type="paragraph" w:styleId="828">
    <w:name w:val="Block Text"/>
    <w:basedOn w:val="807"/>
    <w:next w:val="807"/>
    <w:uiPriority w:val="0"/>
    <w:unhideWhenUsed/>
    <w:qFormat/>
    <w:pPr>
      <w:ind w:left="420" w:right="33"/>
    </w:pPr>
    <w:rPr>
      <w:sz w:val="24"/>
    </w:rPr>
  </w:style>
  <w:style w:type="paragraph" w:styleId="829">
    <w:name w:val="index 4"/>
    <w:basedOn w:val="807"/>
    <w:next w:val="807"/>
    <w:uiPriority w:val="0"/>
    <w:semiHidden/>
    <w:qFormat/>
    <w:pPr>
      <w:ind w:left="600" w:firstLine="480"/>
      <w:spacing w:line="288" w:lineRule="auto"/>
      <w:tabs>
        <w:tab w:val="left" w:pos="1440" w:leader="none"/>
        <w:tab w:val="right" w:pos="8505" w:leader="dot"/>
      </w:tabs>
    </w:pPr>
  </w:style>
  <w:style w:type="paragraph" w:styleId="830">
    <w:name w:val="toc 5"/>
    <w:basedOn w:val="807"/>
    <w:next w:val="807"/>
    <w:uiPriority w:val="0"/>
    <w:qFormat/>
    <w:pPr>
      <w:ind w:left="800"/>
    </w:pPr>
  </w:style>
  <w:style w:type="paragraph" w:styleId="831">
    <w:name w:val="toc 3"/>
    <w:basedOn w:val="807"/>
    <w:next w:val="807"/>
    <w:uiPriority w:val="0"/>
    <w:qFormat/>
    <w:pPr>
      <w:ind w:left="539"/>
      <w:jc w:val="left"/>
      <w:spacing w:line="240" w:lineRule="exact"/>
      <w:tabs>
        <w:tab w:val="right" w:pos="9440" w:leader="dot"/>
      </w:tabs>
    </w:pPr>
    <w:rPr>
      <w:rFonts w:ascii="黑体" w:eastAsia="黑体"/>
      <w:bCs/>
      <w:iCs/>
      <w:sz w:val="18"/>
      <w:szCs w:val="32"/>
    </w:rPr>
  </w:style>
  <w:style w:type="paragraph" w:styleId="832">
    <w:name w:val="Plain Text"/>
    <w:basedOn w:val="807"/>
    <w:link w:val="1051"/>
    <w:uiPriority w:val="0"/>
    <w:qFormat/>
    <w:rPr>
      <w:rFonts w:ascii="宋体"/>
      <w:szCs w:val="20"/>
    </w:rPr>
  </w:style>
  <w:style w:type="paragraph" w:styleId="833">
    <w:name w:val="toc 8"/>
    <w:basedOn w:val="807"/>
    <w:next w:val="807"/>
    <w:uiPriority w:val="0"/>
    <w:qFormat/>
    <w:pPr>
      <w:ind w:left="1400"/>
    </w:pPr>
  </w:style>
  <w:style w:type="paragraph" w:styleId="834">
    <w:name w:val="Date"/>
    <w:basedOn w:val="807"/>
    <w:next w:val="807"/>
    <w:link w:val="1046"/>
    <w:uiPriority w:val="0"/>
    <w:qFormat/>
    <w:rPr>
      <w:sz w:val="24"/>
      <w:szCs w:val="20"/>
    </w:rPr>
  </w:style>
  <w:style w:type="paragraph" w:styleId="835">
    <w:name w:val="Body Text Indent 2"/>
    <w:basedOn w:val="807"/>
    <w:link w:val="1045"/>
    <w:uiPriority w:val="0"/>
    <w:qFormat/>
    <w:pPr>
      <w:ind w:firstLine="200"/>
    </w:pPr>
    <w:rPr>
      <w:rFonts w:ascii="宋体"/>
      <w:sz w:val="28"/>
    </w:rPr>
  </w:style>
  <w:style w:type="paragraph" w:styleId="836">
    <w:name w:val="endnote text"/>
    <w:basedOn w:val="807"/>
    <w:link w:val="1023"/>
    <w:uiPriority w:val="99"/>
    <w:semiHidden/>
    <w:unhideWhenUsed/>
    <w:qFormat/>
    <w:pPr>
      <w:spacing w:after="0" w:line="240" w:lineRule="auto"/>
    </w:pPr>
    <w:rPr>
      <w:sz w:val="20"/>
    </w:rPr>
  </w:style>
  <w:style w:type="paragraph" w:styleId="837">
    <w:name w:val="Balloon Text"/>
    <w:basedOn w:val="807"/>
    <w:link w:val="1036"/>
    <w:uiPriority w:val="0"/>
    <w:qFormat/>
    <w:rPr>
      <w:sz w:val="18"/>
      <w:szCs w:val="18"/>
    </w:rPr>
  </w:style>
  <w:style w:type="paragraph" w:styleId="838">
    <w:name w:val="Footer"/>
    <w:basedOn w:val="807"/>
    <w:link w:val="1035"/>
    <w:uiPriority w:val="0"/>
    <w:qFormat/>
    <w:pPr>
      <w:jc w:val="left"/>
      <w:tabs>
        <w:tab w:val="center" w:pos="4153" w:leader="none"/>
        <w:tab w:val="right" w:pos="8306" w:leader="none"/>
      </w:tabs>
    </w:pPr>
    <w:rPr>
      <w:sz w:val="18"/>
      <w:szCs w:val="20"/>
    </w:rPr>
  </w:style>
  <w:style w:type="paragraph" w:styleId="839">
    <w:name w:val="Header"/>
    <w:basedOn w:val="807"/>
    <w:link w:val="1049"/>
    <w:uiPriority w:val="99"/>
    <w:qFormat/>
    <w:pPr>
      <w:jc w:val="center"/>
      <w:tabs>
        <w:tab w:val="center" w:pos="4153" w:leader="none"/>
        <w:tab w:val="right" w:pos="8306" w:leader="none"/>
      </w:tabs>
      <w:pBdr>
        <w:bottom w:val="single" w:color="auto" w:sz="6" w:space="1"/>
      </w:pBdr>
    </w:pPr>
    <w:rPr>
      <w:sz w:val="18"/>
      <w:szCs w:val="18"/>
    </w:rPr>
  </w:style>
  <w:style w:type="paragraph" w:styleId="840">
    <w:name w:val="toc 1"/>
    <w:basedOn w:val="807"/>
    <w:next w:val="807"/>
    <w:uiPriority w:val="39"/>
    <w:qFormat/>
    <w:pPr>
      <w:jc w:val="left"/>
      <w:spacing w:before="120" w:after="120" w:line="300" w:lineRule="exact"/>
      <w:tabs>
        <w:tab w:val="right" w:pos="9440" w:leader="dot"/>
      </w:tabs>
    </w:pPr>
    <w:rPr>
      <w:rFonts w:ascii="黑体" w:eastAsia="黑体"/>
      <w:b/>
      <w:caps/>
      <w:sz w:val="18"/>
      <w:szCs w:val="28"/>
    </w:rPr>
  </w:style>
  <w:style w:type="paragraph" w:styleId="841">
    <w:name w:val="toc 4"/>
    <w:basedOn w:val="807"/>
    <w:next w:val="807"/>
    <w:uiPriority w:val="0"/>
    <w:qFormat/>
    <w:pPr>
      <w:ind w:left="600"/>
    </w:pPr>
  </w:style>
  <w:style w:type="paragraph" w:styleId="842">
    <w:name w:val="Subtitle"/>
    <w:basedOn w:val="807"/>
    <w:next w:val="807"/>
    <w:link w:val="1041"/>
    <w:uiPriority w:val="0"/>
    <w:qFormat/>
    <w:pPr>
      <w:jc w:val="center"/>
      <w:spacing w:before="240" w:after="60" w:line="312" w:lineRule="auto"/>
      <w:outlineLvl w:val="1"/>
    </w:pPr>
    <w:rPr>
      <w:rFonts w:ascii="Cambria" w:hAnsi="Cambria"/>
      <w:b/>
      <w:bCs/>
      <w:sz w:val="32"/>
      <w:szCs w:val="32"/>
    </w:rPr>
  </w:style>
  <w:style w:type="paragraph" w:styleId="843">
    <w:name w:val="footnote text"/>
    <w:basedOn w:val="807"/>
    <w:link w:val="1022"/>
    <w:uiPriority w:val="99"/>
    <w:semiHidden/>
    <w:unhideWhenUsed/>
    <w:qFormat/>
    <w:pPr>
      <w:spacing w:after="40" w:line="240" w:lineRule="auto"/>
    </w:pPr>
    <w:rPr>
      <w:sz w:val="18"/>
    </w:rPr>
  </w:style>
  <w:style w:type="paragraph" w:styleId="844">
    <w:name w:val="toc 6"/>
    <w:basedOn w:val="807"/>
    <w:next w:val="807"/>
    <w:uiPriority w:val="0"/>
    <w:qFormat/>
    <w:pPr>
      <w:ind w:left="1000"/>
    </w:pPr>
  </w:style>
  <w:style w:type="paragraph" w:styleId="845">
    <w:name w:val="Body Text Indent 3"/>
    <w:basedOn w:val="807"/>
    <w:link w:val="1043"/>
    <w:uiPriority w:val="0"/>
    <w:qFormat/>
    <w:pPr>
      <w:ind w:firstLine="523"/>
    </w:pPr>
    <w:rPr>
      <w:rFonts w:ascii="仿宋_GB2312" w:eastAsia="仿宋_GB2312"/>
      <w:sz w:val="24"/>
    </w:rPr>
  </w:style>
  <w:style w:type="paragraph" w:styleId="846">
    <w:name w:val="table of figures"/>
    <w:basedOn w:val="807"/>
    <w:next w:val="807"/>
    <w:uiPriority w:val="99"/>
    <w:unhideWhenUsed/>
    <w:qFormat/>
    <w:pPr>
      <w:spacing w:after="0" w:afterAutospacing="0"/>
    </w:pPr>
  </w:style>
  <w:style w:type="paragraph" w:styleId="847">
    <w:name w:val="toc 2"/>
    <w:basedOn w:val="807"/>
    <w:next w:val="807"/>
    <w:uiPriority w:val="39"/>
    <w:qFormat/>
    <w:pPr>
      <w:jc w:val="left"/>
      <w:spacing w:line="260" w:lineRule="exact"/>
      <w:tabs>
        <w:tab w:val="right" w:pos="9440" w:leader="dot"/>
      </w:tabs>
    </w:pPr>
    <w:rPr>
      <w:rFonts w:ascii="黑体" w:eastAsia="黑体"/>
      <w:b/>
      <w:bCs/>
      <w:smallCaps/>
      <w:sz w:val="18"/>
      <w:szCs w:val="44"/>
    </w:rPr>
  </w:style>
  <w:style w:type="paragraph" w:styleId="848">
    <w:name w:val="toc 9"/>
    <w:basedOn w:val="807"/>
    <w:next w:val="807"/>
    <w:uiPriority w:val="0"/>
    <w:qFormat/>
    <w:pPr>
      <w:ind w:left="1600"/>
    </w:pPr>
  </w:style>
  <w:style w:type="paragraph" w:styleId="849">
    <w:name w:val="Body Text 2"/>
    <w:basedOn w:val="807"/>
    <w:link w:val="1038"/>
    <w:uiPriority w:val="0"/>
    <w:qFormat/>
    <w:pPr>
      <w:jc w:val="center"/>
    </w:pPr>
    <w:rPr>
      <w:rFonts w:ascii="仿宋_GB2312" w:eastAsia="仿宋_GB2312"/>
      <w:sz w:val="44"/>
    </w:rPr>
  </w:style>
  <w:style w:type="paragraph" w:styleId="850">
    <w:name w:val="HTML Preformatted"/>
    <w:basedOn w:val="807"/>
    <w:link w:val="10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51">
    <w:name w:val="Normal (Web)"/>
    <w:basedOn w:val="807"/>
    <w:uiPriority w:val="99"/>
    <w:qFormat/>
    <w:pPr>
      <w:jc w:val="left"/>
      <w:spacing w:before="100" w:beforeAutospacing="1" w:after="100" w:afterAutospacing="1"/>
      <w:widowControl/>
    </w:pPr>
    <w:rPr>
      <w:rFonts w:ascii="宋体" w:cs="宋体"/>
      <w:sz w:val="24"/>
    </w:rPr>
  </w:style>
  <w:style w:type="paragraph" w:styleId="852">
    <w:name w:val="index 1"/>
    <w:basedOn w:val="807"/>
    <w:next w:val="807"/>
    <w:uiPriority w:val="0"/>
    <w:qFormat/>
    <w:rPr>
      <w:rFonts w:ascii="宋体"/>
      <w:szCs w:val="18"/>
    </w:rPr>
  </w:style>
  <w:style w:type="paragraph" w:styleId="853">
    <w:name w:val="Title"/>
    <w:basedOn w:val="807"/>
    <w:next w:val="807"/>
    <w:link w:val="888"/>
    <w:uiPriority w:val="10"/>
    <w:qFormat/>
    <w:pPr>
      <w:contextualSpacing/>
      <w:spacing w:before="300" w:after="200"/>
    </w:pPr>
    <w:rPr>
      <w:sz w:val="48"/>
      <w:szCs w:val="48"/>
    </w:rPr>
  </w:style>
  <w:style w:type="paragraph" w:styleId="854">
    <w:name w:val="annotation subject"/>
    <w:basedOn w:val="823"/>
    <w:next w:val="823"/>
    <w:link w:val="1031"/>
    <w:uiPriority w:val="0"/>
    <w:qFormat/>
    <w:rPr>
      <w:b/>
      <w:bCs/>
    </w:rPr>
  </w:style>
  <w:style w:type="paragraph" w:styleId="855">
    <w:name w:val="Body Text First Indent"/>
    <w:basedOn w:val="825"/>
    <w:uiPriority w:val="0"/>
    <w:qFormat/>
    <w:pPr>
      <w:ind w:firstLine="420"/>
      <w:spacing w:after="120"/>
    </w:pPr>
    <w:rPr>
      <w:rFonts w:ascii="Times New Roman" w:hAnsi="Times New Roman" w:eastAsia="宋体"/>
      <w:spacing w:val="0"/>
      <w:sz w:val="21"/>
      <w:szCs w:val="24"/>
    </w:rPr>
  </w:style>
  <w:style w:type="paragraph" w:styleId="856">
    <w:name w:val="Body Text First Indent 2"/>
    <w:basedOn w:val="826"/>
    <w:uiPriority w:val="99"/>
    <w:unhideWhenUsed/>
    <w:qFormat/>
    <w:pPr>
      <w:ind w:firstLine="420"/>
    </w:pPr>
  </w:style>
  <w:style w:type="table" w:styleId="857">
    <w:name w:val="Table Grid"/>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Strong"/>
    <w:uiPriority w:val="0"/>
    <w:qFormat/>
    <w:rPr>
      <w:b/>
      <w:bCs/>
    </w:rPr>
  </w:style>
  <w:style w:type="character" w:styleId="859">
    <w:name w:val="endnote reference"/>
    <w:basedOn w:val="817"/>
    <w:uiPriority w:val="99"/>
    <w:semiHidden/>
    <w:unhideWhenUsed/>
    <w:qFormat/>
    <w:rPr>
      <w:vertAlign w:val="superscript"/>
    </w:rPr>
  </w:style>
  <w:style w:type="character" w:styleId="860">
    <w:name w:val="page number"/>
    <w:basedOn w:val="817"/>
    <w:uiPriority w:val="0"/>
    <w:qFormat/>
  </w:style>
  <w:style w:type="character" w:styleId="861">
    <w:name w:val="FollowedHyperlink"/>
    <w:basedOn w:val="817"/>
    <w:uiPriority w:val="99"/>
    <w:qFormat/>
    <w:rPr>
      <w:color w:val="800080"/>
      <w:u w:val="none"/>
    </w:rPr>
  </w:style>
  <w:style w:type="character" w:styleId="862">
    <w:name w:val="Emphasis"/>
    <w:basedOn w:val="817"/>
    <w:uiPriority w:val="20"/>
    <w:qFormat/>
    <w:rPr>
      <w:b/>
      <w:bCs/>
    </w:rPr>
  </w:style>
  <w:style w:type="character" w:styleId="863">
    <w:name w:val="HTML Definition"/>
    <w:basedOn w:val="817"/>
    <w:uiPriority w:val="99"/>
    <w:semiHidden/>
    <w:unhideWhenUsed/>
    <w:qFormat/>
  </w:style>
  <w:style w:type="character" w:styleId="864">
    <w:name w:val="HTML Typewriter"/>
    <w:basedOn w:val="817"/>
    <w:uiPriority w:val="99"/>
    <w:semiHidden/>
    <w:unhideWhenUsed/>
    <w:qFormat/>
    <w:rPr>
      <w:rFonts w:hint="default" w:ascii="monospace" w:hAnsi="monospace" w:eastAsia="monospace" w:cs="monospace"/>
      <w:sz w:val="20"/>
    </w:rPr>
  </w:style>
  <w:style w:type="character" w:styleId="865">
    <w:name w:val="HTML Acronym"/>
    <w:basedOn w:val="817"/>
    <w:uiPriority w:val="99"/>
    <w:semiHidden/>
    <w:unhideWhenUsed/>
    <w:qFormat/>
  </w:style>
  <w:style w:type="character" w:styleId="866">
    <w:name w:val="HTML Variable"/>
    <w:basedOn w:val="817"/>
    <w:uiPriority w:val="99"/>
    <w:semiHidden/>
    <w:unhideWhenUsed/>
    <w:qFormat/>
  </w:style>
  <w:style w:type="character" w:styleId="867">
    <w:name w:val="Hyperlink"/>
    <w:basedOn w:val="817"/>
    <w:uiPriority w:val="99"/>
    <w:qFormat/>
    <w:rPr>
      <w:color w:val="0000ff"/>
      <w:u w:val="none"/>
    </w:rPr>
  </w:style>
  <w:style w:type="character" w:styleId="868">
    <w:name w:val="HTML Code"/>
    <w:basedOn w:val="817"/>
    <w:uiPriority w:val="99"/>
    <w:semiHidden/>
    <w:unhideWhenUsed/>
    <w:qFormat/>
    <w:rPr>
      <w:rFonts w:hint="default" w:ascii="monospace" w:hAnsi="monospace" w:eastAsia="monospace" w:cs="monospace"/>
      <w:sz w:val="20"/>
    </w:rPr>
  </w:style>
  <w:style w:type="character" w:styleId="869">
    <w:name w:val="annotation reference"/>
    <w:uiPriority w:val="0"/>
    <w:qFormat/>
    <w:rPr>
      <w:sz w:val="21"/>
      <w:szCs w:val="21"/>
    </w:rPr>
  </w:style>
  <w:style w:type="character" w:styleId="870">
    <w:name w:val="HTML Cite"/>
    <w:basedOn w:val="817"/>
    <w:uiPriority w:val="99"/>
    <w:semiHidden/>
    <w:unhideWhenUsed/>
    <w:qFormat/>
  </w:style>
  <w:style w:type="character" w:styleId="871">
    <w:name w:val="footnote reference"/>
    <w:basedOn w:val="817"/>
    <w:uiPriority w:val="99"/>
    <w:unhideWhenUsed/>
    <w:qFormat/>
    <w:rPr>
      <w:vertAlign w:val="superscript"/>
    </w:rPr>
  </w:style>
  <w:style w:type="character" w:styleId="872">
    <w:name w:val="HTML Keyboard"/>
    <w:basedOn w:val="817"/>
    <w:uiPriority w:val="99"/>
    <w:semiHidden/>
    <w:unhideWhenUsed/>
    <w:qFormat/>
    <w:rPr>
      <w:rFonts w:hint="default" w:ascii="monospace" w:hAnsi="monospace" w:eastAsia="monospace" w:cs="monospace"/>
      <w:sz w:val="20"/>
    </w:rPr>
  </w:style>
  <w:style w:type="character" w:styleId="873">
    <w:name w:val="HTML Sample"/>
    <w:basedOn w:val="817"/>
    <w:uiPriority w:val="99"/>
    <w:semiHidden/>
    <w:unhideWhenUsed/>
    <w:qFormat/>
    <w:rPr>
      <w:rFonts w:ascii="monospace" w:hAnsi="monospace" w:eastAsia="monospace" w:cs="monospace"/>
      <w:u w:val="none"/>
      <w:shd w:val="clear" w:color="auto" w:fill="ffffff"/>
    </w:rPr>
  </w:style>
  <w:style w:type="paragraph" w:styleId="874" w:customStyle="1">
    <w:name w:val="首行缩进"/>
    <w:basedOn w:val="807"/>
    <w:uiPriority w:val="0"/>
    <w:qFormat/>
    <w:pPr>
      <w:ind w:firstLine="480"/>
    </w:pPr>
    <w:rPr>
      <w:lang w:val="zh-CN"/>
    </w:rPr>
  </w:style>
  <w:style w:type="paragraph" w:styleId="875"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76" w:customStyle="1">
    <w:name w:val="标题 2 Char"/>
    <w:basedOn w:val="817"/>
    <w:link w:val="809"/>
    <w:uiPriority w:val="0"/>
    <w:qFormat/>
    <w:rPr>
      <w:rFonts w:ascii="Arial" w:hAnsi="Arial" w:eastAsia="幼圆"/>
      <w:b/>
      <w:sz w:val="44"/>
    </w:rPr>
  </w:style>
  <w:style w:type="character" w:styleId="877" w:customStyle="1">
    <w:name w:val="标题 1 Char"/>
    <w:basedOn w:val="817"/>
    <w:link w:val="808"/>
    <w:uiPriority w:val="0"/>
    <w:qFormat/>
    <w:rPr>
      <w:rFonts w:ascii="楷体_GB2312" w:eastAsia="楷体_GB2312"/>
      <w:sz w:val="28"/>
    </w:rPr>
  </w:style>
  <w:style w:type="character" w:styleId="878" w:customStyle="1">
    <w:name w:val="Heading 1 Char"/>
    <w:basedOn w:val="817"/>
    <w:uiPriority w:val="9"/>
    <w:qFormat/>
    <w:rPr>
      <w:rFonts w:ascii="Arial" w:hAnsi="Arial" w:eastAsia="Arial" w:cs="Arial"/>
      <w:sz w:val="40"/>
      <w:szCs w:val="40"/>
    </w:rPr>
  </w:style>
  <w:style w:type="character" w:styleId="879" w:customStyle="1">
    <w:name w:val="Heading 2 Char"/>
    <w:basedOn w:val="817"/>
    <w:uiPriority w:val="9"/>
    <w:qFormat/>
    <w:rPr>
      <w:rFonts w:ascii="Arial" w:hAnsi="Arial" w:eastAsia="Arial" w:cs="Arial"/>
      <w:sz w:val="34"/>
    </w:rPr>
  </w:style>
  <w:style w:type="character" w:styleId="880" w:customStyle="1">
    <w:name w:val="Heading 3 Char"/>
    <w:basedOn w:val="817"/>
    <w:uiPriority w:val="9"/>
    <w:qFormat/>
    <w:rPr>
      <w:rFonts w:ascii="Arial" w:hAnsi="Arial" w:eastAsia="Arial" w:cs="Arial"/>
      <w:sz w:val="30"/>
      <w:szCs w:val="30"/>
    </w:rPr>
  </w:style>
  <w:style w:type="character" w:styleId="881" w:customStyle="1">
    <w:name w:val="Heading 4 Char"/>
    <w:basedOn w:val="817"/>
    <w:uiPriority w:val="9"/>
    <w:qFormat/>
    <w:rPr>
      <w:rFonts w:ascii="Arial" w:hAnsi="Arial" w:eastAsia="Arial" w:cs="Arial"/>
      <w:b/>
      <w:bCs/>
      <w:sz w:val="26"/>
      <w:szCs w:val="26"/>
    </w:rPr>
  </w:style>
  <w:style w:type="character" w:styleId="882" w:customStyle="1">
    <w:name w:val="Heading 5 Char"/>
    <w:basedOn w:val="817"/>
    <w:uiPriority w:val="9"/>
    <w:qFormat/>
    <w:rPr>
      <w:rFonts w:ascii="Arial" w:hAnsi="Arial" w:eastAsia="Arial" w:cs="Arial"/>
      <w:b/>
      <w:bCs/>
      <w:sz w:val="24"/>
      <w:szCs w:val="24"/>
    </w:rPr>
  </w:style>
  <w:style w:type="character" w:styleId="883" w:customStyle="1">
    <w:name w:val="Heading 6 Char"/>
    <w:basedOn w:val="817"/>
    <w:link w:val="813"/>
    <w:uiPriority w:val="9"/>
    <w:qFormat/>
    <w:rPr>
      <w:rFonts w:ascii="Arial" w:hAnsi="Arial" w:eastAsia="Arial" w:cs="Arial"/>
      <w:b/>
      <w:bCs/>
      <w:sz w:val="22"/>
      <w:szCs w:val="22"/>
    </w:rPr>
  </w:style>
  <w:style w:type="character" w:styleId="884" w:customStyle="1">
    <w:name w:val="Heading 7 Char"/>
    <w:basedOn w:val="817"/>
    <w:link w:val="814"/>
    <w:uiPriority w:val="9"/>
    <w:qFormat/>
    <w:rPr>
      <w:rFonts w:ascii="Arial" w:hAnsi="Arial" w:eastAsia="Arial" w:cs="Arial"/>
      <w:b/>
      <w:bCs/>
      <w:i/>
      <w:iCs/>
      <w:sz w:val="22"/>
      <w:szCs w:val="22"/>
    </w:rPr>
  </w:style>
  <w:style w:type="character" w:styleId="885" w:customStyle="1">
    <w:name w:val="Heading 8 Char"/>
    <w:basedOn w:val="817"/>
    <w:link w:val="815"/>
    <w:uiPriority w:val="9"/>
    <w:qFormat/>
    <w:rPr>
      <w:rFonts w:ascii="Arial" w:hAnsi="Arial" w:eastAsia="Arial" w:cs="Arial"/>
      <w:i/>
      <w:iCs/>
      <w:sz w:val="22"/>
      <w:szCs w:val="22"/>
    </w:rPr>
  </w:style>
  <w:style w:type="character" w:styleId="886" w:customStyle="1">
    <w:name w:val="Heading 9 Char"/>
    <w:basedOn w:val="817"/>
    <w:link w:val="816"/>
    <w:uiPriority w:val="9"/>
    <w:qFormat/>
    <w:rPr>
      <w:rFonts w:ascii="Arial" w:hAnsi="Arial" w:eastAsia="Arial" w:cs="Arial"/>
      <w:i/>
      <w:iCs/>
      <w:sz w:val="21"/>
      <w:szCs w:val="21"/>
    </w:rPr>
  </w:style>
  <w:style w:type="paragraph" w:styleId="887">
    <w:name w:val="No Spacing"/>
    <w:uiPriority w:val="1"/>
    <w:qFormat/>
    <w:pPr>
      <w:spacing w:before="0" w:after="0" w:line="240" w:lineRule="auto"/>
    </w:pPr>
    <w:rPr>
      <w:rFonts w:hint="default" w:ascii="Times New Roman" w:hAnsi="Times New Roman" w:eastAsia="宋体" w:cs="Times New Roman"/>
    </w:rPr>
  </w:style>
  <w:style w:type="character" w:styleId="888" w:customStyle="1">
    <w:name w:val="Title Char"/>
    <w:basedOn w:val="817"/>
    <w:link w:val="853"/>
    <w:uiPriority w:val="10"/>
    <w:qFormat/>
    <w:rPr>
      <w:sz w:val="48"/>
      <w:szCs w:val="48"/>
    </w:rPr>
  </w:style>
  <w:style w:type="character" w:styleId="889" w:customStyle="1">
    <w:name w:val="Subtitle Char"/>
    <w:basedOn w:val="817"/>
    <w:uiPriority w:val="11"/>
    <w:qFormat/>
    <w:rPr>
      <w:sz w:val="24"/>
      <w:szCs w:val="24"/>
    </w:rPr>
  </w:style>
  <w:style w:type="paragraph" w:styleId="890">
    <w:name w:val="Quote"/>
    <w:basedOn w:val="807"/>
    <w:next w:val="807"/>
    <w:link w:val="891"/>
    <w:uiPriority w:val="29"/>
    <w:qFormat/>
    <w:pPr>
      <w:ind w:left="720" w:right="720"/>
    </w:pPr>
    <w:rPr>
      <w:i/>
    </w:rPr>
  </w:style>
  <w:style w:type="character" w:styleId="891" w:customStyle="1">
    <w:name w:val="Quote Char"/>
    <w:link w:val="890"/>
    <w:uiPriority w:val="29"/>
    <w:qFormat/>
    <w:rPr>
      <w:i/>
    </w:rPr>
  </w:style>
  <w:style w:type="paragraph" w:styleId="892">
    <w:name w:val="Intense Quote"/>
    <w:basedOn w:val="807"/>
    <w:next w:val="807"/>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Intense Quote Char"/>
    <w:link w:val="892"/>
    <w:uiPriority w:val="30"/>
    <w:qFormat/>
    <w:rPr>
      <w:i/>
    </w:rPr>
  </w:style>
  <w:style w:type="character" w:styleId="894" w:customStyle="1">
    <w:name w:val="Header Char"/>
    <w:basedOn w:val="817"/>
    <w:uiPriority w:val="99"/>
    <w:qFormat/>
  </w:style>
  <w:style w:type="character" w:styleId="895" w:customStyle="1">
    <w:name w:val="Footer Char"/>
    <w:basedOn w:val="817"/>
    <w:uiPriority w:val="99"/>
    <w:qFormat/>
  </w:style>
  <w:style w:type="character" w:styleId="896" w:customStyle="1">
    <w:name w:val="Caption Char"/>
    <w:uiPriority w:val="99"/>
    <w:qFormat/>
  </w:style>
  <w:style w:type="table" w:styleId="897" w:customStyle="1">
    <w:name w:val="Table Grid Light"/>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basedOn w:val="81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basedOn w:val="81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basedOn w:val="81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basedOn w:val="81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basedOn w:val="81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basedOn w:val="81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basedOn w:val="81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81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2" w:customStyle="1">
    <w:name w:val="Grid Table 6 Colorful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81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basedOn w:val="81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basedOn w:val="81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81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81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81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81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81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w:basedOn w:val="8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basedOn w:val="81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basedOn w:val="81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basedOn w:val="81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basedOn w:val="81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basedOn w:val="81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basedOn w:val="81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basedOn w:val="81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basedOn w:val="81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basedOn w:val="81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basedOn w:val="81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basedOn w:val="81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basedOn w:val="81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basedOn w:val="81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basedOn w:val="81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basedOn w:val="81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basedOn w:val="81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basedOn w:val="81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basedOn w:val="81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basedOn w:val="81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basedOn w:val="81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basedOn w:val="81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basedOn w:val="81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w:basedOn w:val="8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basedOn w:val="81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basedOn w:val="81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basedOn w:val="81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basedOn w:val="81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basedOn w:val="81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basedOn w:val="81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basedOn w:val="81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basedOn w:val="81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basedOn w:val="81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basedOn w:val="81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basedOn w:val="81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basedOn w:val="81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basedOn w:val="81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81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81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81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81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81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basedOn w:val="81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81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basedOn w:val="81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basedOn w:val="81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basedOn w:val="81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basedOn w:val="81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basedOn w:val="81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basedOn w:val="81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Footnote Text Char"/>
    <w:link w:val="843"/>
    <w:uiPriority w:val="99"/>
    <w:qFormat/>
    <w:rPr>
      <w:sz w:val="18"/>
    </w:rPr>
  </w:style>
  <w:style w:type="character" w:styleId="1023" w:customStyle="1">
    <w:name w:val="Endnote Text Char"/>
    <w:link w:val="836"/>
    <w:uiPriority w:val="99"/>
    <w:qFormat/>
    <w:rPr>
      <w:sz w:val="20"/>
    </w:rPr>
  </w:style>
  <w:style w:type="paragraph" w:styleId="1024" w:customStyle="1">
    <w:name w:val="TOC Heading"/>
    <w:uiPriority w:val="39"/>
    <w:unhideWhenUsed/>
    <w:qFormat/>
    <w:rPr>
      <w:rFonts w:hint="default" w:ascii="Times New Roman" w:hAnsi="Times New Roman" w:eastAsia="宋体" w:cs="Times New Roman"/>
    </w:rPr>
  </w:style>
  <w:style w:type="paragraph" w:styleId="1025" w:customStyle="1">
    <w:name w:val="正文首行缩进11"/>
    <w:basedOn w:val="1026"/>
    <w:next w:val="807"/>
    <w:uiPriority w:val="99"/>
    <w:unhideWhenUsed/>
    <w:qFormat/>
    <w:pPr>
      <w:ind w:firstLine="420"/>
    </w:pPr>
    <w:rPr>
      <w:szCs w:val="24"/>
    </w:rPr>
  </w:style>
  <w:style w:type="paragraph" w:styleId="1026" w:customStyle="1">
    <w:name w:val="正文文本111"/>
    <w:basedOn w:val="807"/>
    <w:next w:val="807"/>
    <w:uiPriority w:val="0"/>
    <w:qFormat/>
    <w:rPr>
      <w:rFonts w:eastAsia="楷体_GB2312"/>
      <w:b/>
      <w:bCs/>
      <w:color w:val="ff0000"/>
      <w:sz w:val="32"/>
      <w:szCs w:val="32"/>
      <w:lang w:val="zh-CN"/>
    </w:rPr>
  </w:style>
  <w:style w:type="paragraph" w:styleId="1027" w:customStyle="1">
    <w:name w:val="段"/>
    <w:next w:val="807"/>
    <w:uiPriority w:val="0"/>
    <w:qFormat/>
    <w:pPr>
      <w:ind w:firstLine="200"/>
      <w:jc w:val="both"/>
    </w:pPr>
    <w:rPr>
      <w:rFonts w:hint="default" w:ascii="宋体" w:hAnsi="Times New Roman" w:eastAsia="宋体" w:cs="Times New Roman"/>
      <w:sz w:val="21"/>
      <w:lang w:val="en-US" w:eastAsia="zh-CN" w:bidi="ar-SA"/>
    </w:rPr>
  </w:style>
  <w:style w:type="paragraph" w:styleId="1028" w:customStyle="1">
    <w:name w:val="Heading 4"/>
    <w:basedOn w:val="807"/>
    <w:next w:val="807"/>
    <w:uiPriority w:val="0"/>
    <w:qFormat/>
    <w:pPr>
      <w:keepLines/>
      <w:keepNext/>
      <w:spacing w:before="280" w:after="290" w:line="376" w:lineRule="auto"/>
    </w:pPr>
    <w:rPr>
      <w:rFonts w:ascii="Arial" w:hAnsi="Arial" w:eastAsia="黑体"/>
      <w:b/>
      <w:bCs/>
      <w:sz w:val="28"/>
      <w:szCs w:val="28"/>
    </w:rPr>
  </w:style>
  <w:style w:type="paragraph" w:styleId="1029"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30" w:customStyle="1">
    <w:name w:val="HTML 预设格式 Char"/>
    <w:link w:val="850"/>
    <w:uiPriority w:val="0"/>
    <w:qFormat/>
    <w:rPr>
      <w:rFonts w:ascii="黑体" w:eastAsia="黑体"/>
    </w:rPr>
  </w:style>
  <w:style w:type="character" w:styleId="1031" w:customStyle="1">
    <w:name w:val="批注主题 Char"/>
    <w:basedOn w:val="1032"/>
    <w:link w:val="854"/>
    <w:uiPriority w:val="0"/>
    <w:qFormat/>
    <w:rPr>
      <w:b/>
      <w:bCs/>
      <w:sz w:val="21"/>
      <w:szCs w:val="24"/>
    </w:rPr>
  </w:style>
  <w:style w:type="character" w:styleId="1032" w:customStyle="1">
    <w:name w:val="批注文字 Char"/>
    <w:basedOn w:val="817"/>
    <w:link w:val="823"/>
    <w:uiPriority w:val="0"/>
    <w:qFormat/>
    <w:rPr>
      <w:sz w:val="21"/>
      <w:szCs w:val="24"/>
    </w:rPr>
  </w:style>
  <w:style w:type="character" w:styleId="1033" w:customStyle="1">
    <w:name w:val="标题2 Char"/>
    <w:uiPriority w:val="0"/>
    <w:qFormat/>
    <w:rPr>
      <w:rFonts w:ascii="方正楷体_GBK" w:eastAsia="方正楷体_GBK"/>
      <w:sz w:val="32"/>
      <w:lang w:val="en-US" w:eastAsia="zh-CN" w:bidi="ar-SA"/>
    </w:rPr>
  </w:style>
  <w:style w:type="character" w:styleId="1034" w:customStyle="1">
    <w:name w:val="标题 5 Char"/>
    <w:basedOn w:val="817"/>
    <w:link w:val="812"/>
    <w:uiPriority w:val="0"/>
    <w:qFormat/>
    <w:rPr>
      <w:rFonts w:ascii="宋体"/>
      <w:b/>
      <w:bCs/>
      <w:sz w:val="21"/>
      <w:szCs w:val="24"/>
    </w:rPr>
  </w:style>
  <w:style w:type="character" w:styleId="1035" w:customStyle="1">
    <w:name w:val="页脚 Char"/>
    <w:link w:val="838"/>
    <w:uiPriority w:val="0"/>
    <w:qFormat/>
    <w:rPr>
      <w:sz w:val="18"/>
    </w:rPr>
  </w:style>
  <w:style w:type="character" w:styleId="1036" w:customStyle="1">
    <w:name w:val="批注框文本 Char"/>
    <w:link w:val="837"/>
    <w:uiPriority w:val="0"/>
    <w:qFormat/>
    <w:rPr>
      <w:sz w:val="18"/>
      <w:szCs w:val="18"/>
    </w:rPr>
  </w:style>
  <w:style w:type="character" w:styleId="1037" w:customStyle="1">
    <w:name w:val="标题 4 Char"/>
    <w:basedOn w:val="817"/>
    <w:link w:val="811"/>
    <w:uiPriority w:val="0"/>
    <w:qFormat/>
    <w:rPr>
      <w:rFonts w:ascii="Arial" w:hAnsi="Arial" w:eastAsia="黑体"/>
      <w:b/>
      <w:bCs/>
      <w:sz w:val="28"/>
      <w:szCs w:val="28"/>
    </w:rPr>
  </w:style>
  <w:style w:type="character" w:styleId="1038" w:customStyle="1">
    <w:name w:val="正文文本 2 Char"/>
    <w:basedOn w:val="817"/>
    <w:link w:val="849"/>
    <w:uiPriority w:val="0"/>
    <w:qFormat/>
    <w:rPr>
      <w:rFonts w:ascii="仿宋_GB2312" w:eastAsia="仿宋_GB2312"/>
      <w:sz w:val="44"/>
      <w:szCs w:val="24"/>
    </w:rPr>
  </w:style>
  <w:style w:type="character" w:styleId="1039" w:customStyle="1">
    <w:name w:val="标题 3 Char"/>
    <w:basedOn w:val="817"/>
    <w:link w:val="810"/>
    <w:uiPriority w:val="0"/>
    <w:qFormat/>
    <w:rPr>
      <w:b/>
      <w:sz w:val="32"/>
    </w:rPr>
  </w:style>
  <w:style w:type="character" w:styleId="1040" w:customStyle="1">
    <w:name w:val="文档结构图 Char"/>
    <w:basedOn w:val="817"/>
    <w:link w:val="822"/>
    <w:uiPriority w:val="0"/>
    <w:qFormat/>
    <w:rPr>
      <w:sz w:val="21"/>
      <w:szCs w:val="24"/>
      <w:shd w:val="clear" w:color="auto" w:fill="000080"/>
    </w:rPr>
  </w:style>
  <w:style w:type="character" w:styleId="1041" w:customStyle="1">
    <w:name w:val="副标题 Char"/>
    <w:basedOn w:val="817"/>
    <w:link w:val="842"/>
    <w:uiPriority w:val="0"/>
    <w:qFormat/>
    <w:rPr>
      <w:rFonts w:ascii="Cambria" w:hAnsi="Cambria"/>
      <w:b/>
      <w:bCs/>
      <w:sz w:val="32"/>
      <w:szCs w:val="32"/>
    </w:rPr>
  </w:style>
  <w:style w:type="character" w:styleId="1042" w:customStyle="1">
    <w:name w:val="副标题 Char1"/>
    <w:basedOn w:val="817"/>
    <w:uiPriority w:val="11"/>
    <w:qFormat/>
    <w:rPr>
      <w:rFonts w:ascii="Cambria" w:hAnsi="Cambria" w:cs="Times New Roman"/>
      <w:b/>
      <w:bCs/>
      <w:sz w:val="32"/>
      <w:szCs w:val="32"/>
    </w:rPr>
  </w:style>
  <w:style w:type="character" w:styleId="1043" w:customStyle="1">
    <w:name w:val="正文文本缩进 3 Char"/>
    <w:basedOn w:val="817"/>
    <w:link w:val="845"/>
    <w:uiPriority w:val="0"/>
    <w:qFormat/>
    <w:rPr>
      <w:rFonts w:ascii="仿宋_GB2312" w:eastAsia="仿宋_GB2312"/>
      <w:sz w:val="24"/>
      <w:szCs w:val="24"/>
    </w:rPr>
  </w:style>
  <w:style w:type="character" w:styleId="1044" w:customStyle="1">
    <w:name w:val="正文文本缩进 Char"/>
    <w:basedOn w:val="817"/>
    <w:link w:val="826"/>
    <w:uiPriority w:val="0"/>
    <w:qFormat/>
    <w:rPr>
      <w:rFonts w:ascii="楷体_GB2312" w:eastAsia="楷体_GB2312"/>
      <w:sz w:val="32"/>
    </w:rPr>
  </w:style>
  <w:style w:type="character" w:styleId="1045" w:customStyle="1">
    <w:name w:val="正文文本缩进 2 Char"/>
    <w:basedOn w:val="817"/>
    <w:link w:val="835"/>
    <w:uiPriority w:val="0"/>
    <w:qFormat/>
    <w:rPr>
      <w:rFonts w:ascii="宋体"/>
      <w:sz w:val="28"/>
      <w:szCs w:val="24"/>
    </w:rPr>
  </w:style>
  <w:style w:type="character" w:styleId="1046" w:customStyle="1">
    <w:name w:val="日期 Char"/>
    <w:basedOn w:val="817"/>
    <w:link w:val="834"/>
    <w:uiPriority w:val="0"/>
    <w:qFormat/>
    <w:rPr>
      <w:sz w:val="24"/>
    </w:rPr>
  </w:style>
  <w:style w:type="character" w:styleId="1047" w:customStyle="1">
    <w:name w:val="jj1"/>
    <w:uiPriority w:val="0"/>
    <w:qFormat/>
    <w:rPr>
      <w:sz w:val="20"/>
      <w:szCs w:val="20"/>
      <w:u w:val="none"/>
    </w:rPr>
  </w:style>
  <w:style w:type="character" w:styleId="1048" w:customStyle="1">
    <w:name w:val="正文文本 3 Char"/>
    <w:basedOn w:val="817"/>
    <w:link w:val="824"/>
    <w:uiPriority w:val="0"/>
    <w:qFormat/>
    <w:rPr>
      <w:rFonts w:ascii="仿宋_GB2312" w:eastAsia="仿宋_GB2312"/>
      <w:sz w:val="32"/>
    </w:rPr>
  </w:style>
  <w:style w:type="character" w:styleId="1049" w:customStyle="1">
    <w:name w:val="页眉 Char"/>
    <w:basedOn w:val="817"/>
    <w:link w:val="839"/>
    <w:uiPriority w:val="99"/>
    <w:qFormat/>
    <w:rPr>
      <w:sz w:val="18"/>
      <w:szCs w:val="18"/>
    </w:rPr>
  </w:style>
  <w:style w:type="character" w:styleId="1050" w:customStyle="1">
    <w:name w:val="正文文本 Char"/>
    <w:basedOn w:val="817"/>
    <w:link w:val="825"/>
    <w:uiPriority w:val="0"/>
    <w:qFormat/>
    <w:rPr>
      <w:rFonts w:ascii="楷体_GB2312" w:eastAsia="楷体_GB2312"/>
      <w:sz w:val="28"/>
    </w:rPr>
  </w:style>
  <w:style w:type="character" w:styleId="1051" w:customStyle="1">
    <w:name w:val="纯文本 Char"/>
    <w:basedOn w:val="817"/>
    <w:link w:val="832"/>
    <w:uiPriority w:val="0"/>
    <w:qFormat/>
    <w:rPr>
      <w:rFonts w:ascii="宋体"/>
      <w:sz w:val="21"/>
    </w:rPr>
  </w:style>
  <w:style w:type="paragraph" w:styleId="1052" w:customStyle="1">
    <w:name w:val="标题3"/>
    <w:basedOn w:val="807"/>
    <w:next w:val="807"/>
    <w:uiPriority w:val="0"/>
    <w:qFormat/>
    <w:rPr>
      <w:rFonts w:eastAsia="方正黑体_GBK"/>
    </w:rPr>
  </w:style>
  <w:style w:type="paragraph" w:styleId="1053" w:customStyle="1">
    <w:name w:val="xl83"/>
    <w:basedOn w:val="807"/>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5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55" w:customStyle="1">
    <w:name w:val="TOC 标题1"/>
    <w:basedOn w:val="808"/>
    <w:next w:val="807"/>
    <w:uiPriority w:val="0"/>
    <w:qFormat/>
    <w:pPr>
      <w:jc w:val="left"/>
      <w:keepLines/>
      <w:spacing w:before="480" w:line="276" w:lineRule="auto"/>
      <w:widowControl/>
      <w:outlineLvl w:val="9"/>
    </w:pPr>
    <w:rPr>
      <w:rFonts w:ascii="Cambria" w:hAnsi="Cambria" w:eastAsia="宋体"/>
      <w:b/>
      <w:bCs/>
      <w:color w:val="365f91"/>
      <w:szCs w:val="28"/>
    </w:rPr>
  </w:style>
  <w:style w:type="paragraph" w:styleId="1056" w:customStyle="1">
    <w:name w:val="第四级"/>
    <w:basedOn w:val="807"/>
    <w:next w:val="807"/>
    <w:uiPriority w:val="0"/>
    <w:qFormat/>
    <w:pPr>
      <w:spacing w:line="360" w:lineRule="auto"/>
      <w:tabs>
        <w:tab w:val="left" w:pos="1134" w:leader="none"/>
      </w:tabs>
    </w:pPr>
    <w:rPr>
      <w:rFonts w:ascii="宋体" w:hAnsi="宋体" w:eastAsia="仿宋"/>
      <w:sz w:val="28"/>
      <w:szCs w:val="21"/>
    </w:rPr>
  </w:style>
  <w:style w:type="paragraph" w:styleId="1057" w:customStyle="1">
    <w:name w:val="Char Char Char Char1 Char Char Char"/>
    <w:basedOn w:val="822"/>
    <w:uiPriority w:val="0"/>
    <w:qFormat/>
    <w:pPr>
      <w:spacing w:line="360" w:lineRule="auto"/>
    </w:pPr>
    <w:rPr>
      <w:rFonts w:ascii="Tahoma" w:hAnsi="Tahoma"/>
      <w:sz w:val="24"/>
    </w:rPr>
  </w:style>
  <w:style w:type="paragraph" w:styleId="1058" w:customStyle="1">
    <w:name w:val="xl77"/>
    <w:basedOn w:val="80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59" w:customStyle="1">
    <w:name w:val="xl47"/>
    <w:basedOn w:val="807"/>
    <w:uiPriority w:val="0"/>
    <w:qFormat/>
    <w:pPr>
      <w:jc w:val="center"/>
      <w:spacing w:before="100" w:beforeAutospacing="1" w:after="100" w:afterAutospacing="1"/>
      <w:widowControl/>
    </w:pPr>
    <w:rPr>
      <w:rFonts w:ascii="方正姚体" w:eastAsia="方正姚体"/>
      <w:b/>
      <w:bCs/>
      <w:sz w:val="36"/>
      <w:szCs w:val="36"/>
    </w:rPr>
  </w:style>
  <w:style w:type="paragraph" w:styleId="1060" w:customStyle="1">
    <w:name w:val="标题2"/>
    <w:basedOn w:val="807"/>
    <w:next w:val="807"/>
    <w:uiPriority w:val="0"/>
    <w:qFormat/>
    <w:pPr>
      <w:jc w:val="center"/>
    </w:pPr>
    <w:rPr>
      <w:rFonts w:eastAsia="方正楷体_GBK"/>
    </w:rPr>
  </w:style>
  <w:style w:type="paragraph" w:styleId="1061" w:customStyle="1">
    <w:name w:val="HTML 预先格式化"/>
    <w:basedOn w:val="8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62" w:customStyle="1">
    <w:name w:val="正文 1.1.1"/>
    <w:basedOn w:val="807"/>
    <w:next w:val="807"/>
    <w:uiPriority w:val="0"/>
    <w:qFormat/>
    <w:pPr>
      <w:spacing w:line="360" w:lineRule="auto"/>
      <w:tabs>
        <w:tab w:val="left" w:pos="851" w:leader="none"/>
      </w:tabs>
      <w:outlineLvl w:val="2"/>
    </w:pPr>
    <w:rPr>
      <w:rFonts w:ascii="宋体"/>
      <w:color w:val="000000"/>
      <w:sz w:val="28"/>
      <w:szCs w:val="21"/>
    </w:rPr>
  </w:style>
  <w:style w:type="paragraph" w:styleId="1063" w:customStyle="1">
    <w:name w:val="默认段落字体 Para Char Char Char Char Char Char Char Char Char1 Char Char Char Char Char Char Char"/>
    <w:basedOn w:val="822"/>
    <w:uiPriority w:val="0"/>
    <w:qFormat/>
    <w:rPr>
      <w:rFonts w:ascii="Tahoma" w:hAnsi="Tahoma"/>
      <w:sz w:val="24"/>
    </w:rPr>
  </w:style>
  <w:style w:type="paragraph" w:styleId="1064" w:customStyle="1">
    <w:name w:val="xl79"/>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65" w:customStyle="1">
    <w:name w:val="xl86"/>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6" w:customStyle="1">
    <w:name w:val="xl69"/>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67" w:customStyle="1">
    <w:name w:val="标题1"/>
    <w:basedOn w:val="807"/>
    <w:next w:val="807"/>
    <w:uiPriority w:val="0"/>
    <w:qFormat/>
    <w:pPr>
      <w:jc w:val="center"/>
      <w:spacing w:line="700" w:lineRule="atLeast"/>
      <w:tabs>
        <w:tab w:val="left" w:pos="9193" w:leader="none"/>
        <w:tab w:val="left" w:pos="9827" w:leader="none"/>
      </w:tabs>
    </w:pPr>
    <w:rPr>
      <w:rFonts w:eastAsia="方正小标宋_GBK"/>
      <w:sz w:val="44"/>
    </w:rPr>
  </w:style>
  <w:style w:type="paragraph" w:styleId="1068" w:customStyle="1">
    <w:name w:val="正文 第一章"/>
    <w:basedOn w:val="807"/>
    <w:next w:val="1069"/>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69" w:customStyle="1">
    <w:name w:val="正文 1.1"/>
    <w:basedOn w:val="807"/>
    <w:next w:val="1062"/>
    <w:uiPriority w:val="0"/>
    <w:qFormat/>
    <w:pPr>
      <w:ind w:left="350" w:hanging="350"/>
      <w:spacing w:line="360" w:lineRule="auto"/>
      <w:outlineLvl w:val="1"/>
    </w:pPr>
    <w:rPr>
      <w:rFonts w:ascii="仿宋" w:eastAsia="仿宋"/>
      <w:b/>
      <w:sz w:val="28"/>
      <w:szCs w:val="21"/>
    </w:rPr>
  </w:style>
  <w:style w:type="paragraph" w:styleId="1070" w:customStyle="1">
    <w:name w:val="Char1"/>
    <w:basedOn w:val="807"/>
    <w:uiPriority w:val="0"/>
    <w:qFormat/>
    <w:pPr>
      <w:tabs>
        <w:tab w:val="left" w:pos="360" w:leader="none"/>
      </w:tabs>
    </w:pPr>
    <w:rPr>
      <w:sz w:val="24"/>
    </w:rPr>
  </w:style>
  <w:style w:type="paragraph" w:styleId="1071" w:customStyle="1">
    <w:name w:val="xl43"/>
    <w:basedOn w:val="8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72" w:customStyle="1">
    <w:name w:val="xl74"/>
    <w:basedOn w:val="807"/>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73" w:customStyle="1">
    <w:name w:val="xl67"/>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4" w:customStyle="1">
    <w:name w:val="列出段落3"/>
    <w:basedOn w:val="807"/>
    <w:uiPriority w:val="0"/>
    <w:qFormat/>
    <w:pPr>
      <w:ind w:firstLine="420"/>
    </w:pPr>
    <w:rPr>
      <w:rFonts w:ascii="Calibri" w:hAnsi="Calibri"/>
      <w:szCs w:val="22"/>
    </w:rPr>
  </w:style>
  <w:style w:type="paragraph" w:styleId="1075" w:customStyle="1">
    <w:name w:val="普通正文"/>
    <w:basedOn w:val="807"/>
    <w:uiPriority w:val="0"/>
    <w:qFormat/>
    <w:pPr>
      <w:ind w:firstLine="480"/>
      <w:jc w:val="left"/>
      <w:spacing w:before="120" w:after="120" w:line="360" w:lineRule="auto"/>
    </w:pPr>
    <w:rPr>
      <w:rFonts w:ascii="Arial" w:hAnsi="Arial"/>
      <w:sz w:val="24"/>
    </w:rPr>
  </w:style>
  <w:style w:type="paragraph" w:styleId="1076">
    <w:name w:val="List Paragraph"/>
    <w:basedOn w:val="807"/>
    <w:uiPriority w:val="0"/>
    <w:qFormat/>
    <w:pPr>
      <w:ind w:firstLine="200"/>
    </w:pPr>
    <w:rPr>
      <w:rFonts w:ascii="Calibri" w:hAnsi="Calibri"/>
      <w:szCs w:val="22"/>
    </w:rPr>
  </w:style>
  <w:style w:type="paragraph" w:styleId="1077" w:customStyle="1">
    <w:name w:val="列出段落2"/>
    <w:basedOn w:val="807"/>
    <w:uiPriority w:val="0"/>
    <w:qFormat/>
    <w:pPr>
      <w:ind w:firstLine="420"/>
    </w:pPr>
    <w:rPr>
      <w:rFonts w:ascii="Calibri" w:hAnsi="Calibri"/>
      <w:szCs w:val="22"/>
    </w:rPr>
  </w:style>
  <w:style w:type="paragraph" w:styleId="1078" w:customStyle="1">
    <w:name w:val="xl71"/>
    <w:basedOn w:val="807"/>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79" w:customStyle="1">
    <w:name w:val="xl81"/>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0" w:customStyle="1">
    <w:name w:val="xl80"/>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81" w:customStyle="1">
    <w:name w:val="xl73"/>
    <w:basedOn w:val="807"/>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82" w:customStyle="1">
    <w:name w:val="BioQuote Tekst"/>
    <w:basedOn w:val="807"/>
    <w:uiPriority w:val="0"/>
    <w:qFormat/>
    <w:pPr>
      <w:ind w:right="-1"/>
    </w:pPr>
    <w:rPr>
      <w:rFonts w:ascii="Arial" w:hAnsi="Arial"/>
      <w:sz w:val="22"/>
      <w:szCs w:val="20"/>
      <w:lang w:eastAsia="en-US"/>
    </w:rPr>
  </w:style>
  <w:style w:type="paragraph" w:styleId="1083" w:customStyle="1">
    <w:name w:val="xl65"/>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75"/>
    <w:basedOn w:val="807"/>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85" w:customStyle="1">
    <w:name w:val="xl87"/>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86" w:customStyle="1">
    <w:name w:val="xl78"/>
    <w:basedOn w:val="80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87" w:customStyle="1">
    <w:name w:val="正文格式"/>
    <w:basedOn w:val="831"/>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88" w:customStyle="1">
    <w:name w:val="Char"/>
    <w:basedOn w:val="807"/>
    <w:uiPriority w:val="0"/>
    <w:qFormat/>
    <w:rPr>
      <w:rFonts w:ascii="Tahoma" w:hAnsi="Tahoma"/>
      <w:sz w:val="24"/>
      <w:szCs w:val="20"/>
    </w:rPr>
  </w:style>
  <w:style w:type="paragraph" w:styleId="1089"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90" w:customStyle="1">
    <w:name w:val="列出段落1"/>
    <w:basedOn w:val="807"/>
    <w:uiPriority w:val="0"/>
    <w:qFormat/>
    <w:pPr>
      <w:contextualSpacing/>
      <w:ind w:left="720"/>
      <w:jc w:val="left"/>
      <w:widowControl/>
    </w:pPr>
    <w:rPr>
      <w:rFonts w:ascii="Calibri" w:hAnsi="Calibri"/>
      <w:sz w:val="24"/>
      <w:lang w:eastAsia="en-US" w:bidi="en-US"/>
    </w:rPr>
  </w:style>
  <w:style w:type="paragraph" w:styleId="1091" w:customStyle="1">
    <w:name w:val="xl88"/>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2" w:customStyle="1">
    <w:name w:val="xl72"/>
    <w:basedOn w:val="807"/>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93" w:customStyle="1">
    <w:name w:val="正文空2格  1."/>
    <w:basedOn w:val="807"/>
    <w:uiPriority w:val="0"/>
    <w:qFormat/>
    <w:pPr>
      <w:ind w:firstLine="200"/>
      <w:spacing w:line="360" w:lineRule="auto"/>
    </w:pPr>
    <w:rPr>
      <w:rFonts w:ascii="宋体" w:hAnsi="宋体" w:eastAsia="仿宋" w:cs="宋体"/>
      <w:sz w:val="28"/>
      <w:szCs w:val="20"/>
    </w:rPr>
  </w:style>
  <w:style w:type="paragraph" w:styleId="109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95" w:customStyle="1">
    <w:name w:val="Coms Alinea"/>
    <w:uiPriority w:val="0"/>
    <w:qFormat/>
    <w:pPr>
      <w:widowControl w:val="off"/>
    </w:pPr>
    <w:rPr>
      <w:rFonts w:hint="default" w:ascii="Arial" w:hAnsi="Arial" w:eastAsia="宋体" w:cs="Arial"/>
      <w:lang w:val="en-US" w:eastAsia="zh-CN" w:bidi="ar-SA"/>
    </w:rPr>
  </w:style>
  <w:style w:type="paragraph" w:styleId="1096" w:customStyle="1">
    <w:name w:val="xl70"/>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97" w:customStyle="1">
    <w:name w:val="xl66"/>
    <w:basedOn w:val="807"/>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8" w:customStyle="1">
    <w:name w:val="xl64"/>
    <w:basedOn w:val="80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99" w:customStyle="1">
    <w:name w:val="xl85"/>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00" w:customStyle="1">
    <w:name w:val="xl68"/>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01" w:customStyle="1">
    <w:name w:val="xl84"/>
    <w:basedOn w:val="807"/>
    <w:uiPriority w:val="0"/>
    <w:qFormat/>
    <w:pPr>
      <w:jc w:val="right"/>
      <w:spacing w:before="100" w:beforeAutospacing="1" w:after="100" w:afterAutospacing="1"/>
      <w:shd w:val="clear" w:color="ffffff" w:fill="ffffff"/>
      <w:widowControl/>
    </w:pPr>
    <w:rPr>
      <w:rFonts w:ascii="宋体" w:hAnsi="宋体" w:cs="宋体"/>
      <w:sz w:val="24"/>
    </w:rPr>
  </w:style>
  <w:style w:type="paragraph" w:styleId="1102" w:customStyle="1">
    <w:name w:val="Char Char Char Char"/>
    <w:basedOn w:val="822"/>
    <w:uiPriority w:val="0"/>
    <w:qFormat/>
    <w:pPr>
      <w:spacing w:line="360" w:lineRule="auto"/>
    </w:pPr>
    <w:rPr>
      <w:rFonts w:ascii="Tahoma" w:hAnsi="Tahoma"/>
      <w:sz w:val="24"/>
    </w:rPr>
  </w:style>
  <w:style w:type="paragraph" w:styleId="1103" w:customStyle="1">
    <w:name w:val="xl82"/>
    <w:basedOn w:val="807"/>
    <w:uiPriority w:val="0"/>
    <w:qFormat/>
    <w:pPr>
      <w:jc w:val="left"/>
      <w:spacing w:before="100" w:beforeAutospacing="1" w:after="100" w:afterAutospacing="1"/>
      <w:shd w:val="clear" w:color="ffffff" w:fill="ffffff"/>
      <w:widowControl/>
    </w:pPr>
    <w:rPr>
      <w:rFonts w:ascii="宋体" w:hAnsi="宋体" w:cs="宋体"/>
      <w:sz w:val="24"/>
    </w:rPr>
  </w:style>
  <w:style w:type="paragraph" w:styleId="1104" w:customStyle="1">
    <w:name w:val="Blockquote"/>
    <w:basedOn w:val="807"/>
    <w:uiPriority w:val="0"/>
    <w:qFormat/>
    <w:pPr>
      <w:ind w:left="360" w:right="360"/>
      <w:jc w:val="left"/>
      <w:spacing w:before="100" w:after="100"/>
    </w:pPr>
    <w:rPr>
      <w:sz w:val="24"/>
      <w:szCs w:val="20"/>
    </w:rPr>
  </w:style>
  <w:style w:type="paragraph" w:styleId="1105" w:customStyle="1">
    <w:name w:val="xl33"/>
    <w:basedOn w:val="8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106" w:customStyle="1">
    <w:name w:val="xl76"/>
    <w:basedOn w:val="80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0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Char Char Char Char1 Char Char"/>
    <w:basedOn w:val="807"/>
    <w:uiPriority w:val="0"/>
    <w:qFormat/>
    <w:pPr>
      <w:tabs>
        <w:tab w:val="left" w:pos="360" w:leader="none"/>
      </w:tabs>
    </w:pPr>
    <w:rPr>
      <w:sz w:val="24"/>
    </w:rPr>
  </w:style>
  <w:style w:type="paragraph" w:styleId="1109" w:customStyle="1">
    <w:name w:val="样式 标题 2 + 黑色 行距: 1.5 倍行距"/>
    <w:basedOn w:val="809"/>
    <w:uiPriority w:val="0"/>
    <w:qFormat/>
    <w:pPr>
      <w:spacing w:line="360" w:lineRule="auto"/>
    </w:pPr>
    <w:rPr>
      <w:rFonts w:eastAsia="宋体"/>
      <w:color w:val="000000"/>
    </w:rPr>
  </w:style>
  <w:style w:type="character" w:styleId="1110" w:customStyle="1">
    <w:name w:val="hover"/>
    <w:basedOn w:val="817"/>
    <w:uiPriority w:val="0"/>
    <w:qFormat/>
    <w:rPr>
      <w:color w:val="5fb878"/>
    </w:rPr>
  </w:style>
  <w:style w:type="character" w:styleId="1111" w:customStyle="1">
    <w:name w:val="hover1"/>
    <w:basedOn w:val="817"/>
    <w:uiPriority w:val="0"/>
    <w:qFormat/>
    <w:rPr>
      <w:color w:val="ffffff"/>
    </w:rPr>
  </w:style>
  <w:style w:type="character" w:styleId="1112" w:customStyle="1">
    <w:name w:val="hover2"/>
    <w:basedOn w:val="817"/>
    <w:uiPriority w:val="0"/>
    <w:qFormat/>
    <w:rPr>
      <w:color w:val="5fb878"/>
    </w:rPr>
  </w:style>
  <w:style w:type="paragraph" w:styleId="1113" w:customStyle="1">
    <w:name w:val="Table Paragraph"/>
    <w:basedOn w:val="807"/>
    <w:uiPriority w:val="1"/>
    <w:qFormat/>
  </w:style>
  <w:style w:type="character" w:styleId="1114" w:customStyle="1">
    <w:name w:val="NormalCharacter"/>
    <w:uiPriority w:val="0"/>
    <w:semiHidden/>
    <w:qFormat/>
    <w:rPr>
      <w:sz w:val="21"/>
      <w:szCs w:val="24"/>
      <w:lang w:val="en-US" w:eastAsia="zh-CN" w:bidi="ar-SA"/>
    </w:rPr>
  </w:style>
  <w:style w:type="character" w:styleId="1115" w:customStyle="1">
    <w:name w:val="font11"/>
    <w:basedOn w:val="817"/>
    <w:uiPriority w:val="0"/>
    <w:qFormat/>
    <w:rPr>
      <w:rFonts w:hint="eastAsia" w:ascii="宋体" w:hAnsi="宋体" w:eastAsia="宋体" w:cs="宋体"/>
      <w:color w:val="000000"/>
      <w:sz w:val="20"/>
      <w:szCs w:val="20"/>
      <w:u w:val="none"/>
    </w:rPr>
  </w:style>
  <w:style w:type="paragraph" w:styleId="1116"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117" w:customStyle="1">
    <w:name w:val="纯文本1"/>
    <w:basedOn w:val="807"/>
    <w:uiPriority w:val="0"/>
    <w:qFormat/>
    <w:rPr>
      <w:rFonts w:ascii="宋体" w:hAnsi="Courier New" w:eastAsia="宋体" w:cs="Times New Roman"/>
      <w:szCs w:val="20"/>
    </w:rPr>
  </w:style>
  <w:style w:type="paragraph" w:styleId="1118" w:customStyle="1">
    <w:name w:val="标题 31"/>
    <w:basedOn w:val="807"/>
    <w:next w:val="807"/>
    <w:uiPriority w:val="9"/>
    <w:qFormat/>
    <w:pPr>
      <w:keepLines/>
      <w:keepNext/>
      <w:spacing w:before="260" w:after="260" w:line="416" w:lineRule="auto"/>
      <w:outlineLvl w:val="2"/>
    </w:pPr>
    <w:rPr>
      <w:b/>
      <w:bCs/>
      <w:sz w:val="32"/>
      <w:szCs w:val="32"/>
    </w:rPr>
  </w:style>
  <w:style w:type="paragraph" w:styleId="1119" w:customStyle="1">
    <w:name w:val="纯文本11"/>
    <w:basedOn w:val="807"/>
    <w:next w:val="1120"/>
    <w:uiPriority w:val="0"/>
    <w:qFormat/>
    <w:rPr>
      <w:rFonts w:ascii="宋体" w:hAnsi="Courier New"/>
      <w:sz w:val="21"/>
      <w:szCs w:val="20"/>
    </w:rPr>
  </w:style>
  <w:style w:type="paragraph" w:styleId="1120" w:customStyle="1">
    <w:name w:val="正文缩进11"/>
    <w:basedOn w:val="807"/>
    <w:uiPriority w:val="0"/>
    <w:qFormat/>
    <w:pPr>
      <w:ind w:firstLine="420"/>
      <w:spacing w:line="360" w:lineRule="atLeast"/>
    </w:pPr>
    <w:rPr>
      <w:sz w:val="21"/>
      <w:szCs w:val="20"/>
    </w:rPr>
  </w:style>
  <w:style w:type="paragraph" w:styleId="1121" w:customStyle="1">
    <w:name w:val="正文文本缩进 31"/>
    <w:basedOn w:val="807"/>
    <w:uiPriority w:val="0"/>
    <w:qFormat/>
    <w:pPr>
      <w:ind w:left="360"/>
      <w:spacing w:line="400" w:lineRule="exact"/>
    </w:pPr>
  </w:style>
  <w:style w:type="paragraph" w:styleId="1122" w:customStyle="1">
    <w:name w:val="目录 31"/>
    <w:basedOn w:val="807"/>
    <w:next w:val="807"/>
    <w:uiPriority w:val="39"/>
    <w:qFormat/>
    <w:pPr>
      <w:ind w:left="840"/>
    </w:pPr>
    <w:rPr>
      <w:rFonts w:ascii="Calibri" w:hAnsi="Calibri"/>
      <w:szCs w:val="22"/>
    </w:rPr>
  </w:style>
  <w:style w:type="paragraph" w:styleId="1123" w:customStyle="1">
    <w:name w:val="页脚1"/>
    <w:basedOn w:val="807"/>
    <w:uiPriority w:val="0"/>
    <w:qFormat/>
    <w:pPr>
      <w:jc w:val="left"/>
      <w:tabs>
        <w:tab w:val="center" w:pos="4153" w:leader="none"/>
        <w:tab w:val="right" w:pos="8306" w:leader="none"/>
      </w:tabs>
    </w:pPr>
    <w:rPr>
      <w:sz w:val="18"/>
      <w:szCs w:val="18"/>
    </w:rPr>
  </w:style>
  <w:style w:type="paragraph" w:styleId="1124" w:customStyle="1">
    <w:name w:val="列表接续 21"/>
    <w:basedOn w:val="807"/>
    <w:next w:val="807"/>
    <w:uiPriority w:val="0"/>
    <w:qFormat/>
    <w:pPr>
      <w:ind w:left="840"/>
      <w:spacing w:after="120"/>
    </w:pPr>
  </w:style>
  <w:style w:type="paragraph" w:styleId="1125" w:customStyle="1">
    <w:name w:val="批注文字1"/>
    <w:basedOn w:val="807"/>
    <w:uiPriority w:val="0"/>
    <w:qFormat/>
    <w:pPr>
      <w:jc w:val="left"/>
    </w:pPr>
    <w:rPr>
      <w:sz w:val="21"/>
    </w:rPr>
  </w:style>
  <w:style w:type="paragraph" w:styleId="1126" w:customStyle="1">
    <w:name w:val="正文首行缩进1"/>
    <w:basedOn w:val="1127"/>
    <w:uiPriority w:val="99"/>
    <w:unhideWhenUsed/>
    <w:qFormat/>
    <w:pPr>
      <w:ind w:firstLine="420"/>
    </w:pPr>
  </w:style>
  <w:style w:type="paragraph" w:styleId="1127" w:customStyle="1">
    <w:name w:val="正文文本1"/>
    <w:basedOn w:val="807"/>
    <w:uiPriority w:val="0"/>
    <w:qFormat/>
    <w:pPr>
      <w:jc w:val="center"/>
    </w:pPr>
    <w:rPr>
      <w:sz w:val="21"/>
    </w:rPr>
  </w:style>
  <w:style w:type="paragraph" w:styleId="1128" w:customStyle="1">
    <w:name w:val="正文文本缩进1"/>
    <w:basedOn w:val="807"/>
    <w:next w:val="1129"/>
    <w:uiPriority w:val="0"/>
    <w:qFormat/>
    <w:pPr>
      <w:ind w:firstLine="645"/>
    </w:pPr>
    <w:rPr>
      <w:rFonts w:ascii="楷体_GB2312" w:eastAsia="楷体_GB2312"/>
      <w:sz w:val="32"/>
      <w:szCs w:val="20"/>
    </w:rPr>
  </w:style>
  <w:style w:type="paragraph" w:styleId="1129" w:customStyle="1">
    <w:name w:val="寄信人地址1"/>
    <w:basedOn w:val="807"/>
    <w:uiPriority w:val="99"/>
    <w:qFormat/>
    <w:rPr>
      <w:rFonts w:ascii="Arial" w:hAnsi="Arial"/>
    </w:rPr>
  </w:style>
  <w:style w:type="table" w:styleId="1130" w:customStyle="1">
    <w:name w:val="Table Normal"/>
    <w:uiPriority w:val="0"/>
    <w:unhideWhenUsed/>
    <w:qFormat/>
    <w:tblPr>
      <w:tblCellMar>
        <w:left w:w="0" w:type="dxa"/>
        <w:top w:w="0" w:type="dxa"/>
        <w:right w:w="0" w:type="dxa"/>
        <w:bottom w:w="0" w:type="dxa"/>
      </w:tblCellMar>
    </w:tblPr>
  </w:style>
  <w:style w:type="paragraph" w:styleId="1131" w:customStyle="1">
    <w:name w:val="Normal_6"/>
    <w:uiPriority w:val="0"/>
    <w:qFormat/>
    <w:rPr>
      <w:rFonts w:ascii="黑体" w:hAnsi="黑体" w:eastAsia="黑体" w:cs="Times New Roman"/>
      <w:b/>
      <w:sz w:val="32"/>
      <w:szCs w:val="24"/>
      <w:lang w:val="en-US" w:eastAsia="zh-CN" w:bidi="ar-SA"/>
    </w:rPr>
  </w:style>
  <w:style w:type="paragraph" w:styleId="1132" w:customStyle="1">
    <w:name w:val="正文_0_0"/>
    <w:uiPriority w:val="0"/>
    <w:qFormat/>
    <w:pPr>
      <w:jc w:val="both"/>
      <w:widowControl w:val="off"/>
    </w:pPr>
    <w:rPr>
      <w:rFonts w:ascii="Calibri" w:hAnsi="Calibri" w:eastAsia="宋体" w:cs="Times New Roman"/>
      <w:sz w:val="21"/>
      <w:szCs w:val="22"/>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卜思允</cp:lastModifiedBy>
  <cp:revision>11</cp:revision>
  <dcterms:created xsi:type="dcterms:W3CDTF">2024-03-07T06:53:00Z</dcterms:created>
  <dcterms:modified xsi:type="dcterms:W3CDTF">2026-05-27T03:37:29Z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462357053_btnclosed</vt:lpwstr>
  </property>
  <property fmtid="{D5CDD505-2E9C-101B-9397-08002B2CF9AE}" pid="4" name="ICV">
    <vt:lpwstr>3AF18A88B84B48D4B3A265F3420C5E41_13</vt:lpwstr>
  </property>
  <property fmtid="{D5CDD505-2E9C-101B-9397-08002B2CF9AE}" pid="5" name="KSOTemplateDocerSaveRecord">
    <vt:lpwstr>eyJoZGlkIjoiZTY4MDdmYjg4M2ZhNjQ1YTViNjI5YzUzMTk5NTI4Y2IiLCJ1c2VySWQiOiIzNDYyNjUwNjEifQ==</vt:lpwstr>
  </property>
</Properties>
</file>